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docMetadata/LabelInfo.xml" ContentType="application/vnd.ms-office.classificationlabels+xml"/>
</Types>
</file>

<file path=_rels/.rels><?xml version="1.0" encoding="UTF-8"?><Relationships xmlns="http://schemas.openxmlformats.org/package/2006/relationships"><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 Id="rId5" Type="http://schemas.microsoft.com/office/2020/02/relationships/classificationlabels" Target="docMetadata/LabelInfo.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165"/>
        <w:rPr>
          <w:rFonts w:ascii="Segoe UI" w:hAnsi="Segoe UI" w:eastAsia="Segoe UI" w:cs="Segoe UI"/>
          <w:b/>
          <w:b/>
          <w:bCs/>
          <w:color w:val="0070C0"/>
          <w:sz w:val="24"/>
          <w:szCs w:val="24"/>
          <w:lang w:val="es-CO"/>
        </w:rPr>
      </w:pPr>
      <w:r>
        <w:rPr>
          <w:rFonts w:eastAsia="Segoe UI" w:cs="Segoe UI" w:ascii="Segoe UI" w:hAnsi="Segoe UI"/>
          <w:b/>
          <w:bCs/>
          <w:color w:val="0070C0"/>
          <w:sz w:val="24"/>
          <w:szCs w:val="24"/>
          <w:lang w:val="es-CO"/>
        </w:rPr>
        <mc:AlternateContent>
          <mc:Choice Requires="wps">
            <w:drawing>
              <wp:anchor behindDoc="0" distT="4445" distB="0" distL="4445" distR="0" simplePos="0" locked="0" layoutInCell="0" allowOverlap="1" relativeHeight="2" wp14:anchorId="2A9EEAF7">
                <wp:simplePos x="0" y="0"/>
                <wp:positionH relativeFrom="page">
                  <wp:posOffset>-552450</wp:posOffset>
                </wp:positionH>
                <wp:positionV relativeFrom="paragraph">
                  <wp:posOffset>-829310</wp:posOffset>
                </wp:positionV>
                <wp:extent cx="8399780" cy="1023620"/>
                <wp:effectExtent l="0" t="0" r="21590" b="25400"/>
                <wp:wrapNone/>
                <wp:docPr id="1" name="Rectangle 1"/>
                <a:graphic xmlns:a="http://schemas.openxmlformats.org/drawingml/2006/main">
                  <a:graphicData uri="http://schemas.microsoft.com/office/word/2010/wordprocessingShape">
                    <wps:wsp>
                      <wps:cNvSpPr/>
                      <wps:spPr>
                        <a:xfrm>
                          <a:off x="0" y="0"/>
                          <a:ext cx="8399160" cy="1023120"/>
                        </a:xfrm>
                        <a:prstGeom prst="rect">
                          <a:avLst/>
                        </a:prstGeom>
                        <a:solidFill>
                          <a:srgbClr val="4472c4"/>
                        </a:solidFill>
                        <a:ln w="9525">
                          <a:solidFill>
                            <a:srgbClr val="325490"/>
                          </a:solidFill>
                        </a:ln>
                      </wps:spPr>
                      <wps:style>
                        <a:lnRef idx="2">
                          <a:schemeClr val="accent1">
                            <a:shade val="50000"/>
                          </a:schemeClr>
                        </a:lnRef>
                        <a:fillRef idx="1">
                          <a:schemeClr val="accent1"/>
                        </a:fillRef>
                        <a:effectRef idx="0"/>
                        <a:fontRef idx="minor"/>
                      </wps:style>
                      <wps:txbx>
                        <w:txbxContent>
                          <w:p>
                            <w:pPr>
                              <w:pStyle w:val="Contenidodelmarco"/>
                              <w:jc w:val="center"/>
                              <w:rPr>
                                <w:rFonts w:eastAsia="Calibri" w:cs="Calibri"/>
                                <w:b/>
                                <w:b/>
                                <w:bCs/>
                                <w:color w:val="FFFFFF" w:themeColor="light1"/>
                                <w:sz w:val="48"/>
                                <w:szCs w:val="48"/>
                              </w:rPr>
                            </w:pPr>
                            <w:r>
                              <w:rPr>
                                <w:rFonts w:eastAsia="Calibri" w:cs="Calibri"/>
                                <w:b/>
                                <w:bCs/>
                                <w:color w:val="FFFFFF" w:themeColor="light1"/>
                                <w:sz w:val="48"/>
                                <w:szCs w:val="48"/>
                              </w:rPr>
                              <w:t>Microsoft 365: Do More With Less Workshop</w:t>
                            </w:r>
                          </w:p>
                          <w:p>
                            <w:pPr>
                              <w:pStyle w:val="Contenidodelmarco"/>
                              <w:spacing w:before="0" w:after="160"/>
                              <w:jc w:val="center"/>
                              <w:rPr>
                                <w:rFonts w:eastAsia="Calibri" w:cs="Calibri"/>
                                <w:b/>
                                <w:b/>
                                <w:bCs/>
                                <w:color w:val="FFFFFF" w:themeColor="light1"/>
                                <w:sz w:val="48"/>
                                <w:szCs w:val="48"/>
                              </w:rPr>
                            </w:pPr>
                            <w:r>
                              <w:rPr>
                                <w:rFonts w:eastAsia="Calibri" w:cs="Calibri"/>
                                <w:b/>
                                <w:bCs/>
                                <w:color w:val="FFFFFF" w:themeColor="light1"/>
                                <w:sz w:val="48"/>
                                <w:szCs w:val="48"/>
                              </w:rPr>
                              <w:t>Value Calculator Case Studies</w:t>
                            </w:r>
                          </w:p>
                        </w:txbxContent>
                      </wps:txbx>
                      <wps:bodyPr anchor="ctr">
                        <a:noAutofit/>
                      </wps:bodyPr>
                    </wps:wsp>
                  </a:graphicData>
                </a:graphic>
              </wp:anchor>
            </w:drawing>
          </mc:Choice>
          <mc:Fallback>
            <w:pict>
              <v:rect id="shape_0" ID="Rectangle 1" path="m0,0l-2147483645,0l-2147483645,-2147483646l0,-2147483646xe" fillcolor="#4472c4" stroked="t" style="position:absolute;margin-left:-43.5pt;margin-top:-65.3pt;width:661.3pt;height:80.5pt;mso-wrap-style:square;v-text-anchor:middle;mso-position-horizontal-relative:page" wp14:anchorId="2A9EEAF7">
                <v:fill o:detectmouseclick="t" type="solid" color2="#bb8d3b"/>
                <v:stroke color="#325490" weight="9360" joinstyle="miter" endcap="flat"/>
                <v:textbox>
                  <w:txbxContent>
                    <w:p>
                      <w:pPr>
                        <w:pStyle w:val="Contenidodelmarco"/>
                        <w:jc w:val="center"/>
                        <w:rPr>
                          <w:rFonts w:eastAsia="Calibri" w:cs="Calibri"/>
                          <w:b/>
                          <w:b/>
                          <w:bCs/>
                          <w:color w:val="FFFFFF" w:themeColor="light1"/>
                          <w:sz w:val="48"/>
                          <w:szCs w:val="48"/>
                        </w:rPr>
                      </w:pPr>
                      <w:r>
                        <w:rPr>
                          <w:rFonts w:eastAsia="Calibri" w:cs="Calibri"/>
                          <w:b/>
                          <w:bCs/>
                          <w:color w:val="FFFFFF" w:themeColor="light1"/>
                          <w:sz w:val="48"/>
                          <w:szCs w:val="48"/>
                        </w:rPr>
                        <w:t>Microsoft 365: Do More With Less Workshop</w:t>
                      </w:r>
                    </w:p>
                    <w:p>
                      <w:pPr>
                        <w:pStyle w:val="Contenidodelmarco"/>
                        <w:spacing w:before="0" w:after="160"/>
                        <w:jc w:val="center"/>
                        <w:rPr>
                          <w:rFonts w:eastAsia="Calibri" w:cs="Calibri"/>
                          <w:b/>
                          <w:b/>
                          <w:bCs/>
                          <w:color w:val="FFFFFF" w:themeColor="light1"/>
                          <w:sz w:val="48"/>
                          <w:szCs w:val="48"/>
                        </w:rPr>
                      </w:pPr>
                      <w:r>
                        <w:rPr>
                          <w:rFonts w:eastAsia="Calibri" w:cs="Calibri"/>
                          <w:b/>
                          <w:bCs/>
                          <w:color w:val="FFFFFF" w:themeColor="light1"/>
                          <w:sz w:val="48"/>
                          <w:szCs w:val="48"/>
                        </w:rPr>
                        <w:t>Value Calculator Case Studies</w:t>
                      </w:r>
                    </w:p>
                  </w:txbxContent>
                </v:textbox>
                <w10:wrap type="none"/>
              </v:rect>
            </w:pict>
          </mc:Fallback>
        </mc:AlternateContent>
        <w:drawing>
          <wp:anchor behindDoc="0" distT="0" distB="0" distL="0" distR="0" simplePos="0" locked="0" layoutInCell="0" allowOverlap="1" relativeHeight="4">
            <wp:simplePos x="0" y="0"/>
            <wp:positionH relativeFrom="column">
              <wp:posOffset>668655</wp:posOffset>
            </wp:positionH>
            <wp:positionV relativeFrom="paragraph">
              <wp:posOffset>-818515</wp:posOffset>
            </wp:positionV>
            <wp:extent cx="5902325" cy="1012825"/>
            <wp:effectExtent l="0" t="0" r="0" b="0"/>
            <wp:wrapNone/>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2"/>
                    <a:stretch>
                      <a:fillRect/>
                    </a:stretch>
                  </pic:blipFill>
                  <pic:spPr bwMode="auto">
                    <a:xfrm>
                      <a:off x="0" y="0"/>
                      <a:ext cx="5902325" cy="1012825"/>
                    </a:xfrm>
                    <a:prstGeom prst="rect">
                      <a:avLst/>
                    </a:prstGeom>
                  </pic:spPr>
                </pic:pic>
              </a:graphicData>
            </a:graphic>
          </wp:anchor>
        </w:drawing>
      </w:r>
    </w:p>
    <w:p>
      <w:pPr>
        <w:pStyle w:val="Normal"/>
        <w:spacing w:lineRule="auto" w:line="240" w:beforeAutospacing="1" w:after="165"/>
        <w:rPr>
          <w:lang w:val="es-CO"/>
        </w:rPr>
      </w:pPr>
      <w:r>
        <w:rPr>
          <w:rFonts w:eastAsia="Segoe UI" w:cs="Segoe UI" w:ascii="Segoe UI" w:hAnsi="Segoe UI"/>
          <w:b/>
          <w:bCs/>
          <w:color w:val="0070C0"/>
          <w:sz w:val="24"/>
          <w:szCs w:val="24"/>
          <w:lang w:val="es-CO"/>
        </w:rPr>
        <w:t xml:space="preserve">Instrucciones para </w:t>
      </w:r>
      <w:r>
        <w:rPr>
          <w:rFonts w:eastAsia="Segoe UI" w:cs="Segoe UI" w:ascii="Segoe UI" w:hAnsi="Segoe UI"/>
          <w:b/>
          <w:bCs/>
          <w:color w:val="0070C0"/>
          <w:sz w:val="24"/>
          <w:szCs w:val="24"/>
          <w:lang w:val="es-CO"/>
        </w:rPr>
        <w:t>el</w:t>
      </w:r>
      <w:r>
        <w:rPr>
          <w:rFonts w:eastAsia="Segoe UI" w:cs="Segoe UI" w:ascii="Segoe UI" w:hAnsi="Segoe UI"/>
          <w:b/>
          <w:bCs/>
          <w:color w:val="0070C0"/>
          <w:sz w:val="24"/>
          <w:szCs w:val="24"/>
          <w:lang w:val="es-CO"/>
        </w:rPr>
        <w:t xml:space="preserve"> estudio </w:t>
      </w:r>
      <w:r>
        <w:rPr>
          <w:rFonts w:eastAsia="Segoe UI" w:cs="Segoe UI" w:ascii="Segoe UI" w:hAnsi="Segoe UI"/>
          <w:b/>
          <w:bCs/>
          <w:color w:val="0070C0"/>
          <w:sz w:val="24"/>
          <w:szCs w:val="24"/>
          <w:lang w:val="es-CO"/>
        </w:rPr>
        <w:t>de casos</w:t>
      </w:r>
      <w:r>
        <w:rPr>
          <w:rFonts w:eastAsia="Segoe UI" w:cs="Segoe UI" w:ascii="Segoe UI" w:hAnsi="Segoe UI"/>
          <w:b/>
          <w:bCs/>
          <w:color w:val="0070C0"/>
          <w:sz w:val="24"/>
          <w:szCs w:val="24"/>
          <w:lang w:val="es-CO"/>
        </w:rPr>
        <w:t>:</w:t>
      </w:r>
    </w:p>
    <w:p>
      <w:pPr>
        <w:pStyle w:val="ListParagraph"/>
        <w:numPr>
          <w:ilvl w:val="0"/>
          <w:numId w:val="1"/>
        </w:numPr>
        <w:spacing w:lineRule="auto" w:line="240" w:beforeAutospacing="1" w:after="200"/>
        <w:contextualSpacing/>
        <w:rPr/>
      </w:pPr>
      <w:r>
        <w:rPr>
          <w:rStyle w:val="IntenseEmphasis"/>
          <w:rFonts w:eastAsia="Segoe UI" w:cs="Segoe UI" w:ascii="Segoe UI" w:hAnsi="Segoe UI"/>
          <w:b w:val="false"/>
          <w:bCs w:val="false"/>
          <w:i w:val="false"/>
          <w:iCs w:val="false"/>
          <w:color w:val="000000" w:themeColor="text1"/>
          <w:lang w:val="es-CO"/>
        </w:rPr>
        <w:t>Revise los escenarios precargados en los archivos xlms de la calculadora de valores incluidos en la carpeta Pre-Workshop/Value Calculator Assets:</w:t>
      </w:r>
    </w:p>
    <w:p>
      <w:pPr>
        <w:pStyle w:val="ListParagraph"/>
        <w:spacing w:lineRule="auto" w:line="240" w:beforeAutospacing="1" w:after="200"/>
        <w:contextualSpacing/>
        <w:rPr/>
      </w:pPr>
      <w:r>
        <w:rPr>
          <w:rStyle w:val="IntenseEmphasis"/>
          <w:rFonts w:eastAsia="Segoe UI" w:cs="Segoe UI" w:ascii="Segoe UI" w:hAnsi="Segoe UI"/>
          <w:b w:val="false"/>
          <w:bCs w:val="false"/>
          <w:i w:val="false"/>
          <w:iCs w:val="false"/>
          <w:color w:val="000000" w:themeColor="text1"/>
          <w:lang w:val="es-CO"/>
        </w:rPr>
        <w:t xml:space="preserve">        ◦ </w:t>
      </w:r>
      <w:r>
        <w:rPr>
          <w:rStyle w:val="IntenseEmphasis"/>
          <w:rFonts w:eastAsia="Segoe UI" w:cs="Segoe UI" w:ascii="Segoe UI" w:hAnsi="Segoe UI"/>
          <w:b w:val="false"/>
          <w:bCs w:val="false"/>
          <w:i w:val="false"/>
          <w:iCs w:val="false"/>
          <w:color w:val="000000" w:themeColor="text1"/>
          <w:lang w:val="es-CO"/>
        </w:rPr>
        <w:t>Escenario de la empresa A para 1.000 usuarios.xlsm</w:t>
      </w:r>
    </w:p>
    <w:p>
      <w:pPr>
        <w:pStyle w:val="ListParagraph"/>
        <w:spacing w:lineRule="auto" w:line="240" w:beforeAutospacing="1" w:after="200"/>
        <w:contextualSpacing/>
        <w:rPr/>
      </w:pPr>
      <w:r>
        <w:rPr>
          <w:rStyle w:val="IntenseEmphasis"/>
          <w:rFonts w:eastAsia="Segoe UI" w:cs="Segoe UI" w:ascii="Segoe UI" w:hAnsi="Segoe UI"/>
          <w:b w:val="false"/>
          <w:bCs w:val="false"/>
          <w:i w:val="false"/>
          <w:iCs w:val="false"/>
          <w:color w:val="000000" w:themeColor="text1"/>
          <w:lang w:val="es-CO"/>
        </w:rPr>
        <w:t xml:space="preserve">        ◦ </w:t>
      </w:r>
      <w:r>
        <w:rPr>
          <w:rStyle w:val="IntenseEmphasis"/>
          <w:rFonts w:eastAsia="Segoe UI" w:cs="Segoe UI" w:ascii="Segoe UI" w:hAnsi="Segoe UI"/>
          <w:b w:val="false"/>
          <w:bCs w:val="false"/>
          <w:i w:val="false"/>
          <w:iCs w:val="false"/>
          <w:color w:val="000000" w:themeColor="text1"/>
          <w:lang w:val="es-CO"/>
        </w:rPr>
        <w:t>Escenario de la empresa B para 3.000 usuarios.xlsm</w:t>
      </w:r>
    </w:p>
    <w:p>
      <w:pPr>
        <w:pStyle w:val="ListParagraph"/>
        <w:numPr>
          <w:ilvl w:val="0"/>
          <w:numId w:val="1"/>
        </w:numPr>
        <w:spacing w:lineRule="auto" w:line="240" w:beforeAutospacing="1" w:after="200"/>
        <w:contextualSpacing/>
        <w:rPr/>
      </w:pPr>
      <w:r>
        <w:rPr>
          <w:rStyle w:val="IntenseEmphasis"/>
          <w:rFonts w:eastAsia="Segoe UI" w:cs="Segoe UI" w:ascii="Segoe UI" w:hAnsi="Segoe UI"/>
          <w:b w:val="false"/>
          <w:bCs w:val="false"/>
          <w:i w:val="false"/>
          <w:iCs w:val="false"/>
          <w:color w:val="000000" w:themeColor="text1"/>
          <w:lang w:val="es-CO"/>
        </w:rPr>
        <w:t>Decidir qué escenario compartir con los clientes durante el Taller Microsoft 365: Haz más con menos</w:t>
      </w:r>
    </w:p>
    <w:p>
      <w:pPr>
        <w:pStyle w:val="ListParagraph"/>
        <w:numPr>
          <w:ilvl w:val="0"/>
          <w:numId w:val="1"/>
        </w:numPr>
        <w:spacing w:lineRule="auto" w:line="240" w:before="0" w:after="200"/>
        <w:contextualSpacing/>
        <w:rPr/>
      </w:pPr>
      <w:r>
        <w:rPr>
          <w:rStyle w:val="IntenseEmphasis"/>
          <w:rFonts w:eastAsia="Segoe UI" w:cs="Segoe UI" w:ascii="Segoe UI" w:hAnsi="Segoe UI"/>
          <w:b w:val="false"/>
          <w:bCs w:val="false"/>
          <w:i w:val="false"/>
          <w:iCs w:val="false"/>
          <w:color w:val="000000" w:themeColor="text1"/>
          <w:lang w:val="es-CO"/>
        </w:rPr>
        <w:t>Para su revisión, hemos incluido un informe financiero para la empresa A en la presentación principal del taller y un informe financiero para la empresa B en la guía de entrega.</w:t>
      </w:r>
    </w:p>
    <w:p>
      <w:pPr>
        <w:pStyle w:val="Normal"/>
        <w:spacing w:lineRule="auto" w:line="240" w:beforeAutospacing="1" w:after="160"/>
        <w:rPr>
          <w:rFonts w:ascii="Segoe UI" w:hAnsi="Segoe UI" w:eastAsia="Segoe UI" w:cs="Segoe UI"/>
          <w:b/>
          <w:b/>
          <w:bCs/>
          <w:color w:val="0070C0"/>
          <w:sz w:val="24"/>
          <w:szCs w:val="24"/>
          <w:lang w:val="es-CO"/>
        </w:rPr>
      </w:pPr>
      <w:r>
        <w:rPr>
          <w:rFonts w:eastAsia="Segoe UI" w:cs="Segoe UI" w:ascii="Segoe UI" w:hAnsi="Segoe UI"/>
          <w:b/>
          <w:bCs/>
          <w:color w:val="0070C0"/>
          <w:sz w:val="24"/>
          <w:szCs w:val="24"/>
          <w:lang w:val="es-CO"/>
        </w:rPr>
      </w:r>
    </w:p>
    <w:p>
      <w:pPr>
        <w:pStyle w:val="Normal"/>
        <w:spacing w:lineRule="auto" w:line="240" w:beforeAutospacing="1" w:after="160"/>
        <w:rPr>
          <w:lang w:val="es-CO"/>
        </w:rPr>
      </w:pPr>
      <w:r>
        <w:rPr>
          <w:rFonts w:eastAsia="Segoe UI" w:cs="Segoe UI" w:ascii="Segoe UI" w:hAnsi="Segoe UI"/>
          <w:b/>
          <w:bCs/>
          <w:color w:val="0070C0"/>
          <w:sz w:val="24"/>
          <w:szCs w:val="24"/>
          <w:lang w:val="es-CO"/>
        </w:rPr>
        <w:t>Perfil de la empresa A - 1.000 usuarios</w:t>
      </w:r>
    </w:p>
    <w:p>
      <w:pPr>
        <w:pStyle w:val="Normal"/>
        <w:spacing w:lineRule="auto" w:line="240" w:beforeAutospacing="1" w:after="160"/>
        <w:rPr/>
      </w:pPr>
      <w:r>
        <w:rPr>
          <w:rStyle w:val="IntenseEmphasis"/>
          <w:rFonts w:eastAsia="Segoe UI" w:cs="Segoe UI" w:ascii="Segoe UI" w:hAnsi="Segoe UI"/>
          <w:b w:val="false"/>
          <w:bCs w:val="false"/>
          <w:i w:val="false"/>
          <w:iCs w:val="false"/>
          <w:color w:val="000000" w:themeColor="text1"/>
          <w:lang w:val="es-CO"/>
        </w:rPr>
        <w:t>La compañía A, es una empresa de fabricación de piezas de automóviles con operaciones en más de 10 países y con clientes que incluyen más de 30 empresas de automóviles. La empresa A tiene 250 trabajadores de oficina y 750 trabajadores de fábrica que trabajan en sus instalaciones. La empresa A es un excelente cliente de Microsoft, pero hay muchas oportunidades por explorar.</w:t>
      </w:r>
    </w:p>
    <w:p>
      <w:pPr>
        <w:pStyle w:val="Normal"/>
        <w:spacing w:lineRule="auto" w:line="240" w:beforeAutospacing="1" w:after="160"/>
        <w:rPr/>
      </w:pPr>
      <w:r>
        <w:rPr>
          <w:rStyle w:val="IntenseEmphasis"/>
          <w:rFonts w:eastAsia="Segoe UI" w:cs="Segoe UI" w:ascii="Segoe UI" w:hAnsi="Segoe UI"/>
          <w:b w:val="false"/>
          <w:bCs w:val="false"/>
          <w:i w:val="false"/>
          <w:iCs w:val="false"/>
          <w:color w:val="4472C4"/>
          <w:sz w:val="24"/>
          <w:szCs w:val="24"/>
          <w:lang w:val="es-CO"/>
        </w:rPr>
        <w:t>Escenario de la empresa A</w:t>
      </w:r>
      <w:r>
        <w:rPr>
          <w:rStyle w:val="IntenseEmphasis"/>
          <w:rFonts w:eastAsia="Segoe UI" w:cs="Segoe UI" w:ascii="Segoe UI" w:hAnsi="Segoe UI"/>
          <w:b w:val="false"/>
          <w:bCs w:val="false"/>
          <w:i w:val="false"/>
          <w:iCs w:val="false"/>
          <w:color w:val="2A6099"/>
          <w:sz w:val="24"/>
          <w:szCs w:val="24"/>
          <w:lang w:val="es-CO"/>
        </w:rPr>
        <w:t xml:space="preserve"> </w:t>
      </w:r>
      <w:r>
        <w:rPr>
          <w:rStyle w:val="IntenseEmphasis"/>
          <w:rFonts w:eastAsia="Segoe UI" w:cs="Segoe UI" w:ascii="Segoe UI" w:hAnsi="Segoe UI"/>
          <w:b w:val="false"/>
          <w:bCs w:val="false"/>
          <w:i w:val="false"/>
          <w:iCs w:val="false"/>
          <w:color w:val="000000" w:themeColor="text1"/>
          <w:lang w:val="es-CO"/>
        </w:rPr>
        <w:t>- Venta adicional de Microsoft 365 E3 a Microsoft 365 E5 con Microsoft 365 F3 para Frontline, Teams Rooms y complementos de Windows 365.</w:t>
      </w:r>
    </w:p>
    <w:p>
      <w:pPr>
        <w:pStyle w:val="Normal"/>
        <w:spacing w:lineRule="auto" w:line="240" w:before="120" w:after="0"/>
        <w:rPr>
          <w:b/>
          <w:b/>
          <w:bCs/>
          <w:color w:val="2A6099"/>
          <w:sz w:val="24"/>
          <w:szCs w:val="24"/>
          <w:lang w:val="es-CO"/>
        </w:rPr>
      </w:pPr>
      <w:r>
        <w:rPr>
          <w:rFonts w:cs="Segoe UI" w:ascii="Segoe UI" w:hAnsi="Segoe UI"/>
          <w:b/>
          <w:bCs/>
          <w:color w:val="2A6099"/>
          <w:sz w:val="24"/>
          <w:szCs w:val="24"/>
          <w:lang w:val="es-CO"/>
        </w:rPr>
        <w:t>Entorno empresarial de la Compañía A:</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Estado actual de la licencia: Microsoft 365 E3 para 250 usuarios.</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La compañía A tiene actualmente la mayor parte de las cargas de trabajo de E3 desplegadas, incluyendo un uso satisfactorio de Teams y de las aplicaciones de Microsoft 365. La compañía A utiliza Microsoft Endpoint Manager para la gestión de dispositivos, pero utiliza Okta para la identificación de todos sus empleados (MFA y SSO).</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 xml:space="preserve">Actualmente, la mayoría de los 250 Trabajadores del Conocimiento de la empresa A trabajan desde casa al menos una parte del tiempo. Trabajar desde casa ha dificultado la comunicación con los clientes y proveedores, y la empresa A desea actualizar su entorno de telefonía Cisco local para facilitar a sus empleados el trabajo desde casa. </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 La compañía A también desea mejorar sus soluciones “Rooms” para facilitar las reuniones híbridas, que se han convertido en la norma. La empresa tiene 5 salas de conferencias grandes y 20 salas medianas. Los sistemas de las salas medianas cuestan 3.000 dólares cada uno y los de las grandes cuestan 5.000 dólares cada uno. Ambos tienen un cargo adicional por garantía de 1.000 dólares y unos costos de instalación de 3.000 dólares. Por el momento no tienen sistemas “Teams Rooms” y dependen de los proyectores de las salas de conferencias y de los teléfonos con altavoz, cuyo mantenimiento cuesta unos 50.000 dólares al año. Les preocupa el mantenimiento de los sistemas de las salas, ya que algunas oficinas remotas no tienen personal de TI.</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 La empresa desplegó una solución VMware VDI cuando implementó el trabajo desde casa debido a la preocupación por la seguridad de 100 empleados en funciones, como los de Finanzas, que trabajan con datos confidenciales en sus portátiles. La empresa desea reducir el costo de esta solución. Actualmente utilizan portátiles potentes con 4 procesadores que cuestan unos 3.000 dólares para su compra y configuración y que se renuevan cada 3 años.</w:t>
      </w:r>
    </w:p>
    <w:p>
      <w:pPr>
        <w:pStyle w:val="ListParagraph"/>
        <w:numPr>
          <w:ilvl w:val="0"/>
          <w:numId w:val="2"/>
        </w:numPr>
        <w:spacing w:lineRule="auto" w:line="240" w:before="120" w:after="0"/>
        <w:contextualSpacing/>
        <w:rPr>
          <w:b w:val="false"/>
          <w:b w:val="false"/>
          <w:bCs w:val="false"/>
        </w:rPr>
      </w:pPr>
      <w:r>
        <w:rPr>
          <w:rFonts w:cs="Segoe UI" w:ascii="Segoe UI" w:hAnsi="Segoe UI"/>
          <w:b w:val="false"/>
          <w:bCs w:val="false"/>
          <w:color w:val="000000" w:themeColor="text1"/>
          <w:lang w:val="es-CO"/>
        </w:rPr>
        <w:t>- La compañía A también tiene un gran entorno de Tableau en las instalaciones y está buscando trasladar la analítica a la nube con Tableau o Power BI.</w:t>
      </w:r>
    </w:p>
    <w:p>
      <w:pPr>
        <w:pStyle w:val="ListParagraph"/>
        <w:numPr>
          <w:ilvl w:val="0"/>
          <w:numId w:val="2"/>
        </w:numPr>
        <w:spacing w:lineRule="auto" w:line="240" w:before="120" w:after="0"/>
        <w:contextualSpacing/>
        <w:rPr>
          <w:lang w:val="es-CO"/>
        </w:rPr>
      </w:pPr>
      <w:r>
        <w:rPr>
          <w:rFonts w:cs="Segoe UI" w:ascii="Segoe UI" w:hAnsi="Segoe UI"/>
          <w:b w:val="false"/>
          <w:bCs w:val="false"/>
          <w:color w:val="000000" w:themeColor="text1"/>
          <w:lang w:val="es-CO"/>
        </w:rPr>
        <w:t>- La compañía A utiliza una variedad de soluciones de seguridad</w:t>
      </w:r>
      <w:r>
        <w:rPr>
          <w:rFonts w:cs="Segoe UI" w:ascii="Segoe UI" w:hAnsi="Segoe UI"/>
          <w:b/>
          <w:bCs/>
          <w:color w:val="000000" w:themeColor="text1"/>
          <w:lang w:val="es-CO"/>
        </w:rPr>
        <w:t xml:space="preserve"> - usted tendrá que trabajar con el cliente para desarrollar un caso de negocio para Microsoft 365 E5</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Control de la identidad: SailPoint a 50 dólares al año</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Protección contra amenazas: Sandboxing para archivos adjuntos de correo electrónico, inteligencia contra amenazas y capacitación: Proofpoint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Protección de la información: Forcepoint DLP: 14,99 dólares por usuario al año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Agente de acceso a la nube (CASB): Forcepoint CASB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Antivirus para clientes: Symantec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Prevención de costos futuros: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Autenticación multifactor (MFA) y Single-Sign-On (SSO): Okta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EDR mediante CrowdStrike - 59,90 dólares al año por dispositivo con un 30% de descuento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En promedio, otros proveedores de seguridad ofrecen un 20% de descuento</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 xml:space="preserve">La compañía A quisiera explorar la posibilidad de apoyar mejor a sus 750 trabajadores de planta con soluciones de comunicación y programación. </w:t>
      </w:r>
    </w:p>
    <w:p>
      <w:pPr>
        <w:pStyle w:val="Normal"/>
        <w:spacing w:lineRule="auto" w:line="240" w:beforeAutospacing="1" w:after="160"/>
        <w:rPr>
          <w:rFonts w:ascii="Segoe UI" w:hAnsi="Segoe UI" w:eastAsia="Segoe UI" w:cs="Segoe UI"/>
          <w:b/>
          <w:b/>
          <w:bCs/>
          <w:color w:val="0070C0"/>
          <w:sz w:val="24"/>
          <w:szCs w:val="24"/>
          <w:lang w:val="es-CO"/>
        </w:rPr>
      </w:pPr>
      <w:r>
        <w:rPr>
          <w:rFonts w:eastAsia="Segoe UI" w:cs="Segoe UI" w:ascii="Segoe UI" w:hAnsi="Segoe UI"/>
          <w:b/>
          <w:bCs/>
          <w:color w:val="0070C0"/>
          <w:sz w:val="24"/>
          <w:szCs w:val="24"/>
          <w:lang w:val="es-CO"/>
        </w:rPr>
      </w:r>
    </w:p>
    <w:p>
      <w:pPr>
        <w:pStyle w:val="Normal"/>
        <w:spacing w:lineRule="auto" w:line="240" w:beforeAutospacing="1" w:after="160"/>
        <w:rPr>
          <w:lang w:val="es-CO"/>
        </w:rPr>
      </w:pPr>
      <w:r>
        <w:rPr>
          <w:rFonts w:eastAsia="Segoe UI" w:cs="Segoe UI" w:ascii="Segoe UI" w:hAnsi="Segoe UI"/>
          <w:b/>
          <w:bCs/>
          <w:color w:val="0070C0"/>
          <w:sz w:val="24"/>
          <w:szCs w:val="24"/>
          <w:lang w:val="es-CO"/>
        </w:rPr>
        <w:t>Perfil de la empresa B - 3.000 usuarios</w:t>
      </w:r>
    </w:p>
    <w:p>
      <w:pPr>
        <w:pStyle w:val="Normal"/>
        <w:spacing w:lineRule="auto" w:line="240" w:beforeAutospacing="1" w:after="160"/>
        <w:rPr/>
      </w:pPr>
      <w:r>
        <w:rPr>
          <w:rStyle w:val="IntenseEmphasis"/>
          <w:rFonts w:eastAsia="Segoe UI" w:cs="Segoe UI" w:ascii="Segoe UI" w:hAnsi="Segoe UI"/>
          <w:b w:val="false"/>
          <w:bCs w:val="false"/>
          <w:i w:val="false"/>
          <w:iCs w:val="false"/>
          <w:color w:val="000000" w:themeColor="text1"/>
          <w:lang w:val="es-CO"/>
        </w:rPr>
        <w:t>La empresa B es una empresa de fabricación de piezas de automóviles con operaciones en más de 10 países y clientes que incluyen más de 30 empresas de automóviles. La empresa B tiene 1.000 trabajadores de oficina y 2.000 trabajadores en sus plantas. La empresa B tiene unos ingresos anuales de 3.000 millones de dólares y un margen bruto del 25%. La empresa B es un cliente sólido de Microsoft, pero hay muchas oportunidades por explorar.</w:t>
      </w:r>
    </w:p>
    <w:p>
      <w:pPr>
        <w:pStyle w:val="Normal"/>
        <w:spacing w:lineRule="auto" w:line="240" w:beforeAutospacing="1" w:after="160"/>
        <w:rPr/>
      </w:pPr>
      <w:r>
        <w:rPr>
          <w:rStyle w:val="IntenseEmphasis"/>
          <w:rFonts w:eastAsia="Segoe UI" w:cs="Segoe UI" w:ascii="Segoe UI" w:hAnsi="Segoe UI"/>
          <w:b w:val="false"/>
          <w:bCs w:val="false"/>
          <w:i w:val="false"/>
          <w:iCs w:val="false"/>
          <w:color w:val="4472C4"/>
          <w:sz w:val="24"/>
          <w:szCs w:val="24"/>
          <w:lang w:val="es-CO"/>
        </w:rPr>
        <w:t xml:space="preserve">Escenario de la empresa </w:t>
      </w:r>
      <w:r>
        <w:rPr>
          <w:rStyle w:val="IntenseEmphasis"/>
          <w:rFonts w:eastAsia="Segoe UI" w:cs="Segoe UI" w:ascii="Segoe UI" w:hAnsi="Segoe UI"/>
          <w:b w:val="false"/>
          <w:bCs w:val="false"/>
          <w:i w:val="false"/>
          <w:iCs w:val="false"/>
          <w:color w:val="4472C4"/>
          <w:sz w:val="24"/>
          <w:szCs w:val="24"/>
          <w:lang w:val="es-CO"/>
        </w:rPr>
        <w:t>B</w:t>
      </w:r>
      <w:r>
        <w:rPr>
          <w:rFonts w:cs="Segoe UI" w:ascii="Segoe UI" w:hAnsi="Segoe UI"/>
          <w:b/>
          <w:bCs/>
          <w:color w:val="0070C0"/>
          <w:sz w:val="24"/>
          <w:szCs w:val="24"/>
          <w:lang w:val="es-CO"/>
        </w:rPr>
        <w:t xml:space="preserve"> </w:t>
      </w:r>
      <w:r>
        <w:rPr>
          <w:rStyle w:val="IntenseEmphasis"/>
          <w:rFonts w:eastAsia="Segoe UI" w:cs="Segoe UI" w:ascii="Segoe UI" w:hAnsi="Segoe UI"/>
          <w:b w:val="false"/>
          <w:bCs w:val="false"/>
          <w:i w:val="false"/>
          <w:iCs w:val="false"/>
          <w:color w:val="000000" w:themeColor="text1"/>
          <w:lang w:val="es-CO"/>
        </w:rPr>
        <w:t>- Microsoft 365 E3 a Microsoft 365 E5 con Microsoft 365 F3 para Frontline, Teams Rooms, Microsoft Viva y complementos de Windows 365.</w:t>
      </w:r>
    </w:p>
    <w:p>
      <w:pPr>
        <w:pStyle w:val="Normal"/>
        <w:spacing w:lineRule="auto" w:line="240" w:before="120" w:after="0"/>
        <w:rPr>
          <w:lang w:val="es-CO"/>
        </w:rPr>
      </w:pPr>
      <w:r>
        <w:rPr>
          <w:rFonts w:cs="Segoe UI" w:ascii="Segoe UI" w:hAnsi="Segoe UI"/>
          <w:b/>
          <w:bCs/>
          <w:color w:val="2A6099"/>
          <w:sz w:val="24"/>
          <w:szCs w:val="24"/>
          <w:lang w:val="es-CO"/>
        </w:rPr>
        <w:t xml:space="preserve">Entorno empresarial de la Compañía </w:t>
      </w:r>
      <w:r>
        <w:rPr>
          <w:rFonts w:cs="Segoe UI" w:ascii="Segoe UI" w:hAnsi="Segoe UI"/>
          <w:b/>
          <w:bCs/>
          <w:color w:val="2A6099"/>
          <w:sz w:val="24"/>
          <w:szCs w:val="24"/>
          <w:lang w:val="es-CO"/>
        </w:rPr>
        <w:t>B</w:t>
      </w:r>
      <w:r>
        <w:rPr>
          <w:rFonts w:cs="Segoe UI" w:ascii="Segoe UI" w:hAnsi="Segoe UI"/>
          <w:lang w:val="es-CO"/>
        </w:rPr>
        <w:t>:</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Estado actual de la licencia: Microsoft 365 E3 para 1.000 usuarios.</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La empresa B tiene actualmente la mayor parte de las cargas de trabajo de E3 implementadas, incluido un uso satisfactorio de Teams y de las aplicaciones de Microsoft 365. La empresa B utiliza Microsoft Endpoint Manager para la gestión de dispositivos, pero utiliza Okta para la identificación de todos sus usuarios (MFA y SSO).</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Actualmente, la mayoría de los 1.000 trabajadores del conocimiento de la empresa B trabajan desde casa al menos una parte del tiempo. Trabajar desde casa ha dificultado la comunicación con los clientes y proveedores y la empresa B desea actualizar su entorno de telefonía Cisco local para facilitar a los trabajadores el trabajo desde casa.</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 xml:space="preserve">La empresa B también quiere mejorar sus soluciones de conferencia para facilitar las reuniones híbridas, que se han convertido en la norma. La empresa tiene 5 salas de conferencias grandes y 20 salas medianas. Los sistemas de las salas medianas cuestan 3.000 dólares cada uno y los de las salas más grandes 5.000 dólares cada uno. Ambos tienen un costo por garantía extendida de 1.000 dólares y costos de instalación de 3.000 dólares. Actualmente no tienen sistemas de sala y dependen de los proyectores de las salas de conferencias y de los teléfonos con altavoz, cuyo mantenimiento cuesta unos 50.000 dólares al año. Les preocupa el mantenimiento de los sistemas de las salas, ya que algunas oficinas remotas no cuentan con personal </w:t>
      </w:r>
      <w:r>
        <w:rPr>
          <w:rFonts w:cs="Segoe UI" w:ascii="Segoe UI" w:hAnsi="Segoe UI"/>
          <w:color w:val="000000" w:themeColor="text1"/>
          <w:lang w:val="es-CO"/>
        </w:rPr>
        <w:t>TI</w:t>
      </w:r>
      <w:r>
        <w:rPr>
          <w:rFonts w:cs="Segoe UI" w:ascii="Segoe UI" w:hAnsi="Segoe UI"/>
          <w:color w:val="000000" w:themeColor="text1"/>
          <w:lang w:val="es-CO"/>
        </w:rPr>
        <w:t>.</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La empresa desplegó una solución VMware VDI cuando implementó el trabajo remoto debido a la preocupación por la seguridad de 500 empleados en funciones, como los de Finanzas, que trabajan con datos confidenciales en sus portátiles. La empresa desea reducir el costo de esta solución. Actualmente utilizan potentes portátiles con 4 procesadores cuya compra y configuración cuesta unos 3.000 dólares y son sustituidos cada 3 años.</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Trabajar desde casa también ha provocado que muchos trabajadores de la información se sientan desconectados de la empresa, y a la empresa B le gustaría explorar soluciones para mejorar las conexiones y la experiencia de los empleados en general. La Suite Viva completa podría ser conveniente. Actualmente gastan 250.000 dólares anuales en su proceso de aprendizaje.</w:t>
      </w:r>
    </w:p>
    <w:p>
      <w:pPr>
        <w:pStyle w:val="ListParagraph"/>
        <w:numPr>
          <w:ilvl w:val="0"/>
          <w:numId w:val="2"/>
        </w:numPr>
        <w:spacing w:lineRule="auto" w:line="240" w:before="120" w:after="0"/>
        <w:contextualSpacing/>
        <w:rPr>
          <w:b w:val="false"/>
          <w:b w:val="false"/>
          <w:bCs w:val="false"/>
        </w:rPr>
      </w:pPr>
      <w:r>
        <w:rPr>
          <w:rFonts w:cs="Segoe UI" w:ascii="Segoe UI" w:hAnsi="Segoe UI"/>
          <w:b w:val="false"/>
          <w:bCs w:val="false"/>
          <w:color w:val="000000" w:themeColor="text1"/>
          <w:lang w:val="es-CO"/>
        </w:rPr>
        <w:t>La empresa B también cuenta con un considerable entorno local de Tableau y desea trasladar la analítica a la nube con Tableau o Power BI.</w:t>
      </w:r>
    </w:p>
    <w:p>
      <w:pPr>
        <w:pStyle w:val="ListParagraph"/>
        <w:numPr>
          <w:ilvl w:val="0"/>
          <w:numId w:val="2"/>
        </w:numPr>
        <w:spacing w:lineRule="auto" w:line="240" w:before="120" w:after="0"/>
        <w:contextualSpacing/>
        <w:rPr>
          <w:lang w:val="es-CO"/>
        </w:rPr>
      </w:pPr>
      <w:r>
        <w:rPr>
          <w:rFonts w:cs="Segoe UI" w:ascii="Segoe UI" w:hAnsi="Segoe UI"/>
          <w:b w:val="false"/>
          <w:bCs w:val="false"/>
          <w:color w:val="000000" w:themeColor="text1"/>
          <w:lang w:val="es-CO"/>
        </w:rPr>
        <w:t>La empresa B utiliza una variedad de soluciones de seguridad</w:t>
      </w:r>
      <w:r>
        <w:rPr>
          <w:rFonts w:cs="Segoe UI" w:ascii="Segoe UI" w:hAnsi="Segoe UI"/>
          <w:b/>
          <w:bCs/>
          <w:color w:val="000000" w:themeColor="text1"/>
          <w:lang w:val="es-CO"/>
        </w:rPr>
        <w:t xml:space="preserve"> - tendrá que trabajar con el cliente para desarrollar un caso de negocio para Microsoft 365 E5</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Control de la identidad: SailPoint a 50 dólares al año</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Protección contra amenazas: Sandboxing para archivos adjuntos de correo electrónico, inteligencia contra amenazas y capacitación: Proofpoint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Protección de la información: Forcepoint DLP: 14,99 dólares por usuario al año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Agente de acceso a la nube (CASB): Forcepoint CASB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SIEM - Splunk para 1TB de registros</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Antivirus para clientes: Symantec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Prevención de costos futuros: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Autenticación multifactor (MFA) y Single-Sign-On (SSO): Okta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 xml:space="preserve">EDR mediante CrowdStrike - 59,90 dólares al año por dispositivo con un 30% de descuento </w:t>
      </w:r>
    </w:p>
    <w:p>
      <w:pPr>
        <w:pStyle w:val="ListParagraph"/>
        <w:numPr>
          <w:ilvl w:val="1"/>
          <w:numId w:val="2"/>
        </w:numPr>
        <w:spacing w:lineRule="auto" w:line="240" w:before="120" w:after="0"/>
        <w:contextualSpacing/>
        <w:rPr>
          <w:lang w:val="es-CO"/>
        </w:rPr>
      </w:pPr>
      <w:r>
        <w:rPr>
          <w:rFonts w:cs="Segoe UI" w:ascii="Segoe UI" w:hAnsi="Segoe UI"/>
          <w:color w:val="000000" w:themeColor="text1"/>
          <w:lang w:val="es-CO"/>
        </w:rPr>
        <w:t>En promedio, otros proveedores de seguridad ofrecen un 20% de descuento</w:t>
      </w:r>
    </w:p>
    <w:p>
      <w:pPr>
        <w:pStyle w:val="ListParagraph"/>
        <w:numPr>
          <w:ilvl w:val="0"/>
          <w:numId w:val="2"/>
        </w:numPr>
        <w:spacing w:lineRule="auto" w:line="240" w:before="120" w:after="0"/>
        <w:contextualSpacing/>
        <w:rPr>
          <w:lang w:val="es-CO"/>
        </w:rPr>
      </w:pPr>
      <w:r>
        <w:rPr>
          <w:rFonts w:cs="Segoe UI" w:ascii="Segoe UI" w:hAnsi="Segoe UI"/>
          <w:color w:val="000000" w:themeColor="text1"/>
          <w:lang w:val="es-CO"/>
        </w:rPr>
        <w:t xml:space="preserve">La empresa B quiere explorar la posibilidad de apoyar mejor a sus 2.000 trabajadores de planta con soluciones de comunicación y planificación. Los trabajadores tienen una alta rotación de alrededor del 10% y la empresa B está buscando soluciones para ayudarles a estar más comprometidos con la compañía. </w:t>
      </w:r>
    </w:p>
    <w:p>
      <w:pPr>
        <w:pStyle w:val="Normal"/>
        <w:spacing w:before="0" w:after="160"/>
        <w:rPr>
          <w:lang w:val="es-CO"/>
        </w:rPr>
      </w:pPr>
      <w:r>
        <w:rPr/>
      </w:r>
    </w:p>
    <w:sectPr>
      <w:headerReference w:type="default" r:id="rId3"/>
      <w:footerReference w:type="default" r:id="rId4"/>
      <w:type w:val="nextPage"/>
      <w:pgSz w:w="12240" w:h="15840"/>
      <w:pgMar w:left="810" w:right="540" w:header="720" w:top="777" w:footer="720" w:bottom="77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Segoe U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0246"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415"/>
      <w:gridCol w:w="3416"/>
      <w:gridCol w:w="3415"/>
    </w:tblGrid>
    <w:tr>
      <w:trPr/>
      <w:tc>
        <w:tcPr>
          <w:tcW w:w="3415" w:type="dxa"/>
          <w:tcBorders/>
        </w:tcPr>
        <w:p>
          <w:pPr>
            <w:pStyle w:val="Cabecera"/>
            <w:widowControl w:val="false"/>
            <w:ind w:left="-115" w:hanging="0"/>
            <w:rPr/>
          </w:pPr>
          <w:r>
            <w:rPr/>
          </w:r>
        </w:p>
      </w:tc>
      <w:tc>
        <w:tcPr>
          <w:tcW w:w="3416" w:type="dxa"/>
          <w:tcBorders/>
        </w:tcPr>
        <w:p>
          <w:pPr>
            <w:pStyle w:val="Cabecera"/>
            <w:widowControl w:val="false"/>
            <w:jc w:val="center"/>
            <w:rPr/>
          </w:pPr>
          <w:r>
            <w:rPr/>
          </w:r>
        </w:p>
      </w:tc>
      <w:tc>
        <w:tcPr>
          <w:tcW w:w="3415" w:type="dxa"/>
          <w:tcBorders/>
        </w:tcPr>
        <w:p>
          <w:pPr>
            <w:pStyle w:val="Cabecera"/>
            <w:widowControl w:val="false"/>
            <w:ind w:right="-115" w:hanging="0"/>
            <w:jc w:val="right"/>
            <w:rPr/>
          </w:pPr>
          <w:r>
            <w:rPr/>
          </w:r>
        </w:p>
      </w:tc>
    </w:tr>
  </w:tbl>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ind w:left="-270" w:hanging="0"/>
      <w:rPr>
        <w:rFonts w:ascii="Segoe UI" w:hAnsi="Segoe UI" w:cs="Segoe UI"/>
        <w:color w:val="FFFFFF" w:themeColor="background1"/>
        <w:sz w:val="44"/>
        <w:szCs w:val="44"/>
      </w:rPr>
    </w:pPr>
    <w:r>
      <w:rPr>
        <w:rFonts w:cs="Segoe UI" w:ascii="Segoe UI" w:hAnsi="Segoe UI"/>
        <w:color w:val="FFFFFF" w:themeColor="background1"/>
        <w:sz w:val="44"/>
        <w:szCs w:val="4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numFmt w:val="bullet"/>
      <w:lvlText w:val="•"/>
      <w:lvlJc w:val="left"/>
      <w:pPr>
        <w:tabs>
          <w:tab w:val="num" w:pos="0"/>
        </w:tabs>
        <w:ind w:left="720" w:hanging="720"/>
      </w:pPr>
      <w:rPr>
        <w:rFonts w:ascii="Segoe UI" w:hAnsi="Segoe UI" w:cs="Segoe U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5"/>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n-US" w:eastAsia="zh-TW"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PMingLiU" w:cs="Arial" w:asciiTheme="minorHAnsi" w:cstheme="minorBid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PMingLiU" w:cs="Arial" w:asciiTheme="minorHAnsi" w:cstheme="minorBidi" w:hAnsiTheme="minorHAnsi"/>
      <w:color w:val="auto"/>
      <w:kern w:val="0"/>
      <w:sz w:val="22"/>
      <w:szCs w:val="22"/>
      <w:lang w:val="en-US" w:eastAsia="en-US" w:bidi="ar-SA"/>
    </w:rPr>
  </w:style>
  <w:style w:type="paragraph" w:styleId="Ttulo1">
    <w:name w:val="Heading 1"/>
    <w:basedOn w:val="Normal"/>
    <w:next w:val="Normal"/>
    <w:link w:val="Heading1Char"/>
    <w:uiPriority w:val="9"/>
    <w:qFormat/>
    <w:rsid w:val="00e46515"/>
    <w:pPr>
      <w:keepNext w:val="true"/>
      <w:keepLines/>
      <w:spacing w:before="240" w:after="0"/>
      <w:outlineLvl w:val="0"/>
    </w:pPr>
    <w:rPr>
      <w:rFonts w:ascii="Calibri Light" w:hAnsi="Calibri Light" w:eastAsia="新細明體" w:cs="Times New Roman" w:asciiTheme="majorHAnsi" w:cstheme="majorBidi" w:eastAsiaTheme="majorEastAsia" w:hAnsiTheme="majorHAnsi"/>
      <w:color w:val="2F5496" w:themeColor="accent1" w:themeShade="bf"/>
      <w:sz w:val="32"/>
      <w:szCs w:val="32"/>
    </w:rPr>
  </w:style>
  <w:style w:type="paragraph" w:styleId="Ttulo2">
    <w:name w:val="Heading 2"/>
    <w:basedOn w:val="Normal"/>
    <w:link w:val="Heading2Char"/>
    <w:uiPriority w:val="9"/>
    <w:qFormat/>
    <w:rsid w:val="00954504"/>
    <w:pPr>
      <w:spacing w:lineRule="auto" w:line="240" w:beforeAutospacing="1" w:afterAutospacing="1"/>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qFormat/>
    <w:rPr/>
  </w:style>
  <w:style w:type="character" w:styleId="ListParagraphChar" w:customStyle="1">
    <w:name w:val="List Paragraph Char"/>
    <w:basedOn w:val="DefaultParagraphFont"/>
    <w:link w:val="ListParagraph"/>
    <w:uiPriority w:val="34"/>
    <w:qFormat/>
    <w:locked/>
    <w:rsid w:val="004620af"/>
    <w:rPr>
      <w:rFonts w:eastAsia="新細明體" w:eastAsiaTheme="minorEastAsia"/>
    </w:rPr>
  </w:style>
  <w:style w:type="character" w:styleId="IntenseEmphasis">
    <w:name w:val="Intense Emphasis"/>
    <w:basedOn w:val="DefaultParagraphFont"/>
    <w:uiPriority w:val="21"/>
    <w:qFormat/>
    <w:rsid w:val="004620af"/>
    <w:rPr>
      <w:b/>
      <w:bCs/>
      <w:i/>
      <w:iCs/>
      <w:color w:val="4472C4" w:themeColor="accent1"/>
    </w:rPr>
  </w:style>
  <w:style w:type="character" w:styleId="HeaderChar" w:customStyle="1">
    <w:name w:val="Header Char"/>
    <w:basedOn w:val="DefaultParagraphFont"/>
    <w:link w:val="Header"/>
    <w:uiPriority w:val="99"/>
    <w:qFormat/>
    <w:rsid w:val="00c9204d"/>
    <w:rPr/>
  </w:style>
  <w:style w:type="character" w:styleId="FooterChar" w:customStyle="1">
    <w:name w:val="Footer Char"/>
    <w:basedOn w:val="DefaultParagraphFont"/>
    <w:link w:val="Footer"/>
    <w:uiPriority w:val="99"/>
    <w:qFormat/>
    <w:rsid w:val="00c9204d"/>
    <w:rPr/>
  </w:style>
  <w:style w:type="character" w:styleId="Annotationreference">
    <w:name w:val="annotation reference"/>
    <w:basedOn w:val="DefaultParagraphFont"/>
    <w:uiPriority w:val="99"/>
    <w:semiHidden/>
    <w:unhideWhenUsed/>
    <w:qFormat/>
    <w:rsid w:val="00aa1267"/>
    <w:rPr>
      <w:sz w:val="16"/>
      <w:szCs w:val="16"/>
    </w:rPr>
  </w:style>
  <w:style w:type="character" w:styleId="CommentTextChar" w:customStyle="1">
    <w:name w:val="Comment Text Char"/>
    <w:basedOn w:val="DefaultParagraphFont"/>
    <w:link w:val="CommentText"/>
    <w:uiPriority w:val="99"/>
    <w:qFormat/>
    <w:rsid w:val="00aa1267"/>
    <w:rPr>
      <w:sz w:val="20"/>
      <w:szCs w:val="20"/>
    </w:rPr>
  </w:style>
  <w:style w:type="character" w:styleId="CommentSubjectChar" w:customStyle="1">
    <w:name w:val="Comment Subject Char"/>
    <w:basedOn w:val="CommentTextChar"/>
    <w:link w:val="CommentSubject"/>
    <w:uiPriority w:val="99"/>
    <w:semiHidden/>
    <w:qFormat/>
    <w:rsid w:val="00aa1267"/>
    <w:rPr>
      <w:b/>
      <w:bCs/>
      <w:sz w:val="20"/>
      <w:szCs w:val="20"/>
    </w:rPr>
  </w:style>
  <w:style w:type="character" w:styleId="BalloonTextChar" w:customStyle="1">
    <w:name w:val="Balloon Text Char"/>
    <w:basedOn w:val="DefaultParagraphFont"/>
    <w:link w:val="BalloonText"/>
    <w:uiPriority w:val="99"/>
    <w:semiHidden/>
    <w:qFormat/>
    <w:rsid w:val="00aa1267"/>
    <w:rPr>
      <w:rFonts w:ascii="Segoe UI" w:hAnsi="Segoe UI" w:cs="Segoe UI"/>
      <w:sz w:val="18"/>
      <w:szCs w:val="18"/>
    </w:rPr>
  </w:style>
  <w:style w:type="character" w:styleId="EnlacedeInternet">
    <w:name w:val="Enlace de Internet"/>
    <w:basedOn w:val="DefaultParagraphFont"/>
    <w:uiPriority w:val="99"/>
    <w:unhideWhenUsed/>
    <w:rsid w:val="001104b2"/>
    <w:rPr>
      <w:color w:val="0563C1" w:themeColor="hyperlink"/>
      <w:u w:val="single"/>
    </w:rPr>
  </w:style>
  <w:style w:type="character" w:styleId="UnresolvedMention">
    <w:name w:val="Unresolved Mention"/>
    <w:basedOn w:val="DefaultParagraphFont"/>
    <w:uiPriority w:val="99"/>
    <w:unhideWhenUsed/>
    <w:qFormat/>
    <w:rsid w:val="001104b2"/>
    <w:rPr>
      <w:color w:val="605E5C"/>
      <w:shd w:fill="E1DFDD" w:val="clear"/>
    </w:rPr>
  </w:style>
  <w:style w:type="character" w:styleId="Normaltextrun" w:customStyle="1">
    <w:name w:val="normaltextrun"/>
    <w:basedOn w:val="DefaultParagraphFont"/>
    <w:qFormat/>
    <w:rsid w:val="000a54d9"/>
    <w:rPr/>
  </w:style>
  <w:style w:type="character" w:styleId="Eop" w:customStyle="1">
    <w:name w:val="eop"/>
    <w:basedOn w:val="DefaultParagraphFont"/>
    <w:qFormat/>
    <w:rsid w:val="000a54d9"/>
    <w:rPr/>
  </w:style>
  <w:style w:type="character" w:styleId="Mention">
    <w:name w:val="Mention"/>
    <w:basedOn w:val="DefaultParagraphFont"/>
    <w:uiPriority w:val="99"/>
    <w:unhideWhenUsed/>
    <w:qFormat/>
    <w:rPr>
      <w:color w:val="2B579A"/>
      <w:shd w:fill="E6E6E6" w:val="clear"/>
    </w:rPr>
  </w:style>
  <w:style w:type="character" w:styleId="Heading2Char" w:customStyle="1">
    <w:name w:val="Heading 2 Char"/>
    <w:basedOn w:val="DefaultParagraphFont"/>
    <w:link w:val="Heading2"/>
    <w:uiPriority w:val="9"/>
    <w:qFormat/>
    <w:rsid w:val="00954504"/>
    <w:rPr>
      <w:rFonts w:ascii="Times New Roman" w:hAnsi="Times New Roman" w:eastAsia="Times New Roman" w:cs="Times New Roman"/>
      <w:b/>
      <w:bCs/>
      <w:sz w:val="36"/>
      <w:szCs w:val="36"/>
    </w:rPr>
  </w:style>
  <w:style w:type="character" w:styleId="Strong">
    <w:name w:val="Strong"/>
    <w:basedOn w:val="DefaultParagraphFont"/>
    <w:uiPriority w:val="22"/>
    <w:qFormat/>
    <w:rsid w:val="00954504"/>
    <w:rPr>
      <w:b/>
      <w:bCs/>
    </w:rPr>
  </w:style>
  <w:style w:type="character" w:styleId="Destacado">
    <w:name w:val="Destacado"/>
    <w:basedOn w:val="DefaultParagraphFont"/>
    <w:uiPriority w:val="20"/>
    <w:qFormat/>
    <w:rsid w:val="00ae19b9"/>
    <w:rPr>
      <w:i/>
      <w:iCs/>
    </w:rPr>
  </w:style>
  <w:style w:type="character" w:styleId="Heading1Char" w:customStyle="1">
    <w:name w:val="Heading 1 Char"/>
    <w:basedOn w:val="DefaultParagraphFont"/>
    <w:link w:val="Heading1"/>
    <w:uiPriority w:val="9"/>
    <w:qFormat/>
    <w:rsid w:val="00e46515"/>
    <w:rPr>
      <w:rFonts w:ascii="Calibri Light" w:hAnsi="Calibri Light" w:eastAsia="新細明體" w:cs="Times New Roman" w:asciiTheme="majorHAnsi" w:cstheme="majorBidi" w:eastAsiaTheme="majorEastAsia" w:hAnsiTheme="majorHAnsi"/>
      <w:color w:val="2F5496" w:themeColor="accent1" w:themeShade="bf"/>
      <w:sz w:val="32"/>
      <w:szCs w:val="32"/>
    </w:rPr>
  </w:style>
  <w:style w:type="character" w:styleId="EnlacedeInternetvisitado">
    <w:name w:val="Enlace de Internet visitado"/>
    <w:basedOn w:val="DefaultParagraphFont"/>
    <w:uiPriority w:val="99"/>
    <w:semiHidden/>
    <w:unhideWhenUsed/>
    <w:rsid w:val="0089326c"/>
    <w:rPr>
      <w:color w:val="954F72" w:themeColor="followed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NormalWeb">
    <w:name w:val="Normal (Web)"/>
    <w:basedOn w:val="Normal"/>
    <w:uiPriority w:val="99"/>
    <w:unhideWhenUsed/>
    <w:qFormat/>
    <w:rsid w:val="004620af"/>
    <w:pPr>
      <w:spacing w:lineRule="auto" w:line="240" w:beforeAutospacing="1" w:afterAutospacing="1"/>
    </w:pPr>
    <w:rPr>
      <w:rFonts w:ascii="Times New Roman" w:hAnsi="Times New Roman" w:eastAsia="Times New Roman" w:cs="Times New Roman"/>
      <w:sz w:val="24"/>
      <w:szCs w:val="24"/>
    </w:rPr>
  </w:style>
  <w:style w:type="paragraph" w:styleId="ListParagraph">
    <w:name w:val="List Paragraph"/>
    <w:basedOn w:val="Normal"/>
    <w:link w:val="ListParagraphChar"/>
    <w:uiPriority w:val="34"/>
    <w:qFormat/>
    <w:rsid w:val="004620af"/>
    <w:pPr>
      <w:spacing w:lineRule="auto" w:line="276" w:before="0" w:after="200"/>
      <w:ind w:left="720" w:hanging="0"/>
      <w:contextualSpacing/>
    </w:pPr>
    <w:rPr>
      <w:rFonts w:eastAsia="新細明體" w:eastAsiaTheme="minorEastAsia"/>
    </w:rPr>
  </w:style>
  <w:style w:type="paragraph" w:styleId="Cabeceraypie">
    <w:name w:val="Cabecera y pie"/>
    <w:basedOn w:val="Normal"/>
    <w:qFormat/>
    <w:pPr/>
    <w:rPr/>
  </w:style>
  <w:style w:type="paragraph" w:styleId="Cabecera">
    <w:name w:val="Header"/>
    <w:basedOn w:val="Normal"/>
    <w:link w:val="HeaderChar"/>
    <w:uiPriority w:val="99"/>
    <w:unhideWhenUsed/>
    <w:rsid w:val="00c9204d"/>
    <w:pPr>
      <w:tabs>
        <w:tab w:val="clear" w:pos="720"/>
        <w:tab w:val="center" w:pos="4680" w:leader="none"/>
        <w:tab w:val="right" w:pos="9360" w:leader="none"/>
      </w:tabs>
      <w:spacing w:lineRule="auto" w:line="240" w:before="0" w:after="0"/>
    </w:pPr>
    <w:rPr/>
  </w:style>
  <w:style w:type="paragraph" w:styleId="Piedepgina">
    <w:name w:val="Footer"/>
    <w:basedOn w:val="Normal"/>
    <w:link w:val="FooterChar"/>
    <w:uiPriority w:val="99"/>
    <w:unhideWhenUsed/>
    <w:rsid w:val="00c9204d"/>
    <w:pPr>
      <w:tabs>
        <w:tab w:val="clear" w:pos="720"/>
        <w:tab w:val="center" w:pos="4680" w:leader="none"/>
        <w:tab w:val="right" w:pos="9360" w:leader="none"/>
      </w:tabs>
      <w:spacing w:lineRule="auto" w:line="240" w:before="0" w:after="0"/>
    </w:pPr>
    <w:rPr/>
  </w:style>
  <w:style w:type="paragraph" w:styleId="Annotationtext">
    <w:name w:val="annotation text"/>
    <w:basedOn w:val="Normal"/>
    <w:link w:val="CommentTextChar"/>
    <w:uiPriority w:val="99"/>
    <w:unhideWhenUsed/>
    <w:qFormat/>
    <w:rsid w:val="00aa1267"/>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aa1267"/>
    <w:pPr/>
    <w:rPr>
      <w:b/>
      <w:bCs/>
    </w:rPr>
  </w:style>
  <w:style w:type="paragraph" w:styleId="BalloonText">
    <w:name w:val="Balloon Text"/>
    <w:basedOn w:val="Normal"/>
    <w:link w:val="BalloonTextChar"/>
    <w:uiPriority w:val="99"/>
    <w:semiHidden/>
    <w:unhideWhenUsed/>
    <w:qFormat/>
    <w:rsid w:val="00aa1267"/>
    <w:pPr>
      <w:spacing w:lineRule="auto" w:line="240" w:before="0" w:after="0"/>
    </w:pPr>
    <w:rPr>
      <w:rFonts w:ascii="Segoe UI" w:hAnsi="Segoe UI" w:cs="Segoe UI"/>
      <w:sz w:val="18"/>
      <w:szCs w:val="18"/>
    </w:rPr>
  </w:style>
  <w:style w:type="paragraph" w:styleId="Revision">
    <w:name w:val="Revision"/>
    <w:uiPriority w:val="99"/>
    <w:semiHidden/>
    <w:qFormat/>
    <w:rsid w:val="008013c8"/>
    <w:pPr>
      <w:widowControl/>
      <w:suppressAutoHyphens w:val="true"/>
      <w:bidi w:val="0"/>
      <w:spacing w:lineRule="auto" w:line="240" w:before="0" w:after="0"/>
      <w:jc w:val="left"/>
    </w:pPr>
    <w:rPr>
      <w:rFonts w:ascii="Calibri" w:hAnsi="Calibri" w:eastAsia="PMingLiU" w:cs="Arial" w:asciiTheme="minorHAnsi" w:cstheme="minorBidi" w:hAnsiTheme="minorHAnsi"/>
      <w:color w:val="auto"/>
      <w:kern w:val="0"/>
      <w:sz w:val="22"/>
      <w:szCs w:val="22"/>
      <w:lang w:val="en-US" w:eastAsia="en-US" w:bidi="ar-SA"/>
    </w:rPr>
  </w:style>
  <w:style w:type="paragraph" w:styleId="Contenidodelmarco">
    <w:name w:val="Contenido del marco"/>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e1096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30e9df3-be65-4c73-a93b-d1236ebd677e" xsi:nil="true"/>
    <OneNoteFluid_FileOrder0 xmlns="b0dca280-2824-41bc-90e3-40677ebc7b3a" xsi:nil="true"/>
    <lcf76f155ced4ddcb4097134ff3c332f xmlns="b0dca280-2824-41bc-90e3-40677ebc7b3a">
      <Terms xmlns="http://schemas.microsoft.com/office/infopath/2007/PartnerControls"/>
    </lcf76f155ced4ddcb4097134ff3c332f>
    <OneNoteFluid_FileOrder xmlns="b0dca280-2824-41bc-90e3-40677ebc7b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0AA61FE9E9604DA70CE8FC9B0F320B" ma:contentTypeVersion="21" ma:contentTypeDescription="Create a new document." ma:contentTypeScope="" ma:versionID="9d7a69458fcd61e4c30dc4de5b01ddb8">
  <xsd:schema xmlns:xsd="http://www.w3.org/2001/XMLSchema" xmlns:xs="http://www.w3.org/2001/XMLSchema" xmlns:p="http://schemas.microsoft.com/office/2006/metadata/properties" xmlns:ns1="http://schemas.microsoft.com/sharepoint/v3" xmlns:ns2="f7908dce-07d2-4314-9b97-5fd34e9080eb" xmlns:ns3="b0dca280-2824-41bc-90e3-40677ebc7b3a" xmlns:ns4="230e9df3-be65-4c73-a93b-d1236ebd677e" targetNamespace="http://schemas.microsoft.com/office/2006/metadata/properties" ma:root="true" ma:fieldsID="d0745158e95ee1ad59a0b8ed5fecfd53" ns1:_="" ns2:_="" ns3:_="" ns4:_="">
    <xsd:import namespace="http://schemas.microsoft.com/sharepoint/v3"/>
    <xsd:import namespace="f7908dce-07d2-4314-9b97-5fd34e9080eb"/>
    <xsd:import namespace="b0dca280-2824-41bc-90e3-40677ebc7b3a"/>
    <xsd:import namespace="230e9df3-be65-4c73-a93b-d1236ebd677e"/>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EventHashCode" minOccurs="0"/>
                <xsd:element ref="ns3:MediaServiceGenerationTime" minOccurs="0"/>
                <xsd:element ref="ns3:MediaServiceDateTaken" minOccurs="0"/>
                <xsd:element ref="ns3:MediaServiceAutoKeyPoints" minOccurs="0"/>
                <xsd:element ref="ns3:MediaServiceKeyPoints" minOccurs="0"/>
                <xsd:element ref="ns1:_ip_UnifiedCompliancePolicyProperties" minOccurs="0"/>
                <xsd:element ref="ns1:_ip_UnifiedCompliancePolicyUIAction" minOccurs="0"/>
                <xsd:element ref="ns3:lcf76f155ced4ddcb4097134ff3c332f" minOccurs="0"/>
                <xsd:element ref="ns4:TaxCatchAll" minOccurs="0"/>
                <xsd:element ref="ns3:MediaLengthInSeconds" minOccurs="0"/>
                <xsd:element ref="ns3:OneNoteFluid_FileOrder" minOccurs="0"/>
                <xsd:element ref="ns3:OneNoteFluid_FileOrder0"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08dce-07d2-4314-9b97-5fd34e9080e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LastSharedByUser" ma:index="10" nillable="true" ma:displayName="Last Shared By User" ma:hidden="true" ma:internalName="LastSharedByUser" ma:readOnly="true">
      <xsd:simpleType>
        <xsd:restriction base="dms:Note"/>
      </xsd:simpleType>
    </xsd:element>
    <xsd:element name="LastSharedByTime" ma:index="11" nillable="true" ma:displayName="Last Shared By Time" ma:hidden="true"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0dca280-2824-41bc-90e3-40677ebc7b3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OneNoteFluid_FileOrder" ma:index="25" nillable="true" ma:displayName="OneNoteFluid_FileOrder" ma:internalName="OneNoteFluid_FileOrder">
      <xsd:simpleType>
        <xsd:restriction base="dms:Text">
          <xsd:maxLength value="255"/>
        </xsd:restriction>
      </xsd:simpleType>
    </xsd:element>
    <xsd:element name="OneNoteFluid_FileOrder0" ma:index="26" nillable="true" ma:displayName="OneNoteFluid_FileOrder" ma:internalName="OneNoteFluid_FileOrder0">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3fb9ccf-0c65-402c-9f0a-873c8f7db346}" ma:internalName="TaxCatchAll" ma:showField="CatchAllData" ma:web="f7908dce-07d2-4314-9b97-5fd34e9080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A6ECC3-148F-46E2-B5C7-819C84D5E34F}">
  <ds:schemaRefs>
    <ds:schemaRef ds:uri="http://schemas.microsoft.com/sharepoint/v3/contenttype/forms"/>
  </ds:schemaRefs>
</ds:datastoreItem>
</file>

<file path=customXml/itemProps2.xml><?xml version="1.0" encoding="utf-8"?>
<ds:datastoreItem xmlns:ds="http://schemas.openxmlformats.org/officeDocument/2006/customXml" ds:itemID="{C5A4F2C2-1FC0-43A3-879E-3F5C1C3866E7}">
  <ds:schemaRefs>
    <ds:schemaRef ds:uri="http://schemas.microsoft.com/office/2006/metadata/properties"/>
    <ds:schemaRef ds:uri="http://schemas.microsoft.com/office/infopath/2007/PartnerControls"/>
    <ds:schemaRef ds:uri="http://schemas.microsoft.com/sharepoint/v3"/>
    <ds:schemaRef ds:uri="71f1f120-f20f-4439-80f5-0c00e87e45e5"/>
    <ds:schemaRef ds:uri="230e9df3-be65-4c73-a93b-d1236ebd677e"/>
  </ds:schemaRefs>
</ds:datastoreItem>
</file>

<file path=customXml/itemProps3.xml><?xml version="1.0" encoding="utf-8"?>
<ds:datastoreItem xmlns:ds="http://schemas.openxmlformats.org/officeDocument/2006/customXml" ds:itemID="{E8ACE1F5-1F95-4FF5-973A-803DCFAC89F4}"/>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459</TotalTime>
  <Application>LibreOffice/7.1.8.1$Windows_X86_64 LibreOffice_project/e1f30c802c3269a1d052614453f260e49458c82c</Application>
  <AppVersion>15.0000</AppVersion>
  <Pages>3</Pages>
  <Words>1408</Words>
  <Characters>7112</Characters>
  <CharactersWithSpaces>8464</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Palme-Stumpe (Murdoch Services)</dc:creator>
  <dc:description/>
  <cp:lastModifiedBy/>
  <cp:revision>283</cp:revision>
  <cp:lastPrinted>2020-12-15T00:39:00Z</cp:lastPrinted>
  <dcterms:created xsi:type="dcterms:W3CDTF">2022-01-24T14:50:00Z</dcterms:created>
  <dcterms:modified xsi:type="dcterms:W3CDTF">2022-10-11T18:54:24Z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0x0101009F0AA61FE9E9604DA70CE8FC9B0F320B</vt:lpwstr>
  </property>
  <property fmtid="{D5CDD505-2E9C-101B-9397-08002B2CF9AE}" pid="3" name="MSIP_Label_f42aa342-8706-4288-bd11-ebb85995028c_ActionId">
    <vt:lpwstr>58e5e1f7-2cee-484c-87a0-fc8d9ded2bc8</vt:lpwstr>
  </property>
  <property fmtid="{D5CDD505-2E9C-101B-9397-08002B2CF9AE}" pid="4" name="MSIP_Label_f42aa342-8706-4288-bd11-ebb85995028c_Enabled">
    <vt:lpwstr>True</vt:lpwstr>
  </property>
  <property fmtid="{D5CDD505-2E9C-101B-9397-08002B2CF9AE}" pid="5" name="MSIP_Label_f42aa342-8706-4288-bd11-ebb85995028c_Extended_MSFT_Method">
    <vt:lpwstr>Automatic</vt:lpwstr>
  </property>
  <property fmtid="{D5CDD505-2E9C-101B-9397-08002B2CF9AE}" pid="6" name="MSIP_Label_f42aa342-8706-4288-bd11-ebb85995028c_Name">
    <vt:lpwstr>General</vt:lpwstr>
  </property>
  <property fmtid="{D5CDD505-2E9C-101B-9397-08002B2CF9AE}" pid="7" name="MSIP_Label_f42aa342-8706-4288-bd11-ebb85995028c_SetDate">
    <vt:lpwstr>2019-09-27T16:42:52.8020602Z</vt:lpwstr>
  </property>
  <property fmtid="{D5CDD505-2E9C-101B-9397-08002B2CF9AE}" pid="8" name="MSIP_Label_f42aa342-8706-4288-bd11-ebb85995028c_SiteId">
    <vt:lpwstr>72f988bf-86f1-41af-91ab-2d7cd011db47</vt:lpwstr>
  </property>
  <property fmtid="{D5CDD505-2E9C-101B-9397-08002B2CF9AE}" pid="9" name="MediaServiceImageTags">
    <vt:lpwstr/>
  </property>
  <property fmtid="{D5CDD505-2E9C-101B-9397-08002B2CF9AE}" pid="10" name="Sensitivity">
    <vt:lpwstr>General</vt:lpwstr>
  </property>
</Properties>
</file>