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9FF1" w14:textId="4D0D4068" w:rsidR="00D524EF" w:rsidRPr="00F83233" w:rsidRDefault="00F67151" w:rsidP="00D524EF">
      <w:pPr>
        <w:pStyle w:val="Title"/>
        <w:rPr>
          <w:color w:val="008272"/>
          <w:lang w:val="es-ES"/>
        </w:rPr>
      </w:pPr>
      <w:r w:rsidRPr="00F83233">
        <w:rPr>
          <w:color w:val="008272"/>
          <w:lang w:val="es-ES"/>
        </w:rPr>
        <w:t>Leer primero</w:t>
      </w:r>
    </w:p>
    <w:p w14:paraId="499E89D6" w14:textId="258D8890" w:rsidR="00D524EF" w:rsidRPr="00F83233" w:rsidRDefault="00F67151" w:rsidP="00D524EF">
      <w:pPr>
        <w:pStyle w:val="Subtitle"/>
        <w:rPr>
          <w:lang w:val="es-ES"/>
        </w:rPr>
      </w:pPr>
      <w:r w:rsidRPr="00F83233">
        <w:rPr>
          <w:rStyle w:val="SubtleEmphasis"/>
          <w:i w:val="0"/>
          <w:iCs w:val="0"/>
          <w:lang w:val="es-ES"/>
        </w:rPr>
        <w:t xml:space="preserve">Materiales de la campaña Conecta a tu empresa para impulsar la productividad y las ganancias </w:t>
      </w:r>
    </w:p>
    <w:p w14:paraId="0A9CCE86" w14:textId="5A973FC3" w:rsidR="00F67151" w:rsidRPr="00F83233" w:rsidRDefault="00F67151" w:rsidP="00F67151">
      <w:pPr>
        <w:rPr>
          <w:lang w:val="es-ES"/>
        </w:rPr>
      </w:pPr>
    </w:p>
    <w:p w14:paraId="57633749" w14:textId="55F512B1" w:rsidR="00F67151" w:rsidRPr="00F67151" w:rsidRDefault="00F67151" w:rsidP="00F67151">
      <w:pPr>
        <w:pStyle w:val="NoSpacing"/>
        <w:spacing w:line="259" w:lineRule="auto"/>
        <w:rPr>
          <w:lang w:val="es-ES"/>
        </w:rPr>
      </w:pPr>
      <w:r w:rsidRPr="00F83233">
        <w:rPr>
          <w:lang w:val="es-ES"/>
        </w:rPr>
        <w:t>Bienvenido a la campaña</w:t>
      </w:r>
      <w:r w:rsidR="00857DE0" w:rsidRPr="00F83233">
        <w:rPr>
          <w:lang w:val="es-ES"/>
        </w:rPr>
        <w:t xml:space="preserve"> </w:t>
      </w:r>
      <w:r w:rsidRPr="00F83233">
        <w:rPr>
          <w:b/>
          <w:bCs/>
          <w:lang w:val="es-ES"/>
        </w:rPr>
        <w:t>Conecta a tu empresa para impulsar la productividad y las ganancias</w:t>
      </w:r>
      <w:r w:rsidR="00857DE0" w:rsidRPr="00F83233">
        <w:rPr>
          <w:lang w:val="es-ES"/>
        </w:rPr>
        <w:t xml:space="preserve">. </w:t>
      </w:r>
      <w:r w:rsidRPr="00F67151">
        <w:rPr>
          <w:lang w:val="es-ES"/>
        </w:rPr>
        <w:t xml:space="preserve">Los materiales proporcionados están destinados a complementar </w:t>
      </w:r>
      <w:r w:rsidR="00F83233">
        <w:rPr>
          <w:lang w:val="es-ES"/>
        </w:rPr>
        <w:t>t</w:t>
      </w:r>
      <w:r w:rsidRPr="00F67151">
        <w:rPr>
          <w:lang w:val="es-ES"/>
        </w:rPr>
        <w:t xml:space="preserve">us propios esfuerzos de marketing y ventas. </w:t>
      </w:r>
      <w:r w:rsidRPr="00F83233">
        <w:rPr>
          <w:lang w:val="es-ES"/>
        </w:rPr>
        <w:t>Si bien</w:t>
      </w:r>
      <w:r w:rsidRPr="00F67151">
        <w:rPr>
          <w:lang w:val="es-ES"/>
        </w:rPr>
        <w:t xml:space="preserve"> están listos para ser compartidos con los clientes inmediatamente, </w:t>
      </w:r>
      <w:r w:rsidRPr="00F83233">
        <w:rPr>
          <w:lang w:val="es-ES"/>
        </w:rPr>
        <w:t>te</w:t>
      </w:r>
      <w:r w:rsidRPr="00F67151">
        <w:rPr>
          <w:lang w:val="es-ES"/>
        </w:rPr>
        <w:t xml:space="preserve"> recomendamos encarecidamente que personalice</w:t>
      </w:r>
      <w:r w:rsidRPr="00F83233">
        <w:rPr>
          <w:lang w:val="es-ES"/>
        </w:rPr>
        <w:t>s</w:t>
      </w:r>
      <w:r w:rsidRPr="00F67151">
        <w:rPr>
          <w:lang w:val="es-ES"/>
        </w:rPr>
        <w:t xml:space="preserve"> los materiales para incluir </w:t>
      </w:r>
      <w:r w:rsidRPr="00F83233">
        <w:rPr>
          <w:lang w:val="es-ES"/>
        </w:rPr>
        <w:t>tu</w:t>
      </w:r>
      <w:r w:rsidRPr="00F67151">
        <w:rPr>
          <w:lang w:val="es-ES"/>
        </w:rPr>
        <w:t xml:space="preserve"> propia propuesta de valor únic</w:t>
      </w:r>
      <w:r w:rsidR="00F83233">
        <w:rPr>
          <w:lang w:val="es-ES"/>
        </w:rPr>
        <w:t>a</w:t>
      </w:r>
      <w:r w:rsidRPr="00F67151">
        <w:rPr>
          <w:lang w:val="es-ES"/>
        </w:rPr>
        <w:t>, historia de la solución, personalización de marca, logotipos y llamadas a la acción.</w:t>
      </w:r>
    </w:p>
    <w:p w14:paraId="3B7A5FCD" w14:textId="77777777" w:rsidR="00F67151" w:rsidRPr="00F83233" w:rsidRDefault="00F67151" w:rsidP="00C07FDA">
      <w:pPr>
        <w:pStyle w:val="NoSpacing"/>
        <w:spacing w:line="259" w:lineRule="auto"/>
        <w:rPr>
          <w:lang w:val="es-ES"/>
        </w:rPr>
      </w:pPr>
    </w:p>
    <w:p w14:paraId="5E42B43D" w14:textId="40097CAD" w:rsidR="00F67151" w:rsidRPr="00F83233" w:rsidRDefault="00F67151" w:rsidP="00F67151">
      <w:pPr>
        <w:pStyle w:val="Heading1"/>
        <w:rPr>
          <w:color w:val="008272"/>
          <w:lang w:val="es-ES"/>
        </w:rPr>
      </w:pPr>
      <w:r w:rsidRPr="00F83233">
        <w:rPr>
          <w:color w:val="008272"/>
          <w:lang w:val="es-ES"/>
        </w:rPr>
        <w:t>Presentación</w:t>
      </w:r>
    </w:p>
    <w:p w14:paraId="3BB6DCC2" w14:textId="77777777" w:rsidR="00F67151" w:rsidRPr="00F83233" w:rsidRDefault="00F67151" w:rsidP="00F67151">
      <w:pPr>
        <w:rPr>
          <w:lang w:val="es-ES"/>
        </w:rPr>
      </w:pPr>
    </w:p>
    <w:p w14:paraId="3F25FC29" w14:textId="77777777" w:rsidR="00BA7B3C" w:rsidRPr="00F83233" w:rsidRDefault="00857DE0" w:rsidP="00BA7B3C">
      <w:pPr>
        <w:rPr>
          <w:lang w:val="es-ES"/>
        </w:rPr>
      </w:pPr>
      <w:r w:rsidRPr="00F83233">
        <w:rPr>
          <w:noProof/>
          <w:lang w:val="es-ES"/>
        </w:rPr>
        <w:drawing>
          <wp:inline distT="0" distB="0" distL="0" distR="0" wp14:anchorId="2991C472" wp14:editId="582A0ECC">
            <wp:extent cx="1817184" cy="1028595"/>
            <wp:effectExtent l="19050" t="19050" r="12065" b="196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04272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84" cy="10285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3233">
        <w:rPr>
          <w:lang w:val="es-ES"/>
        </w:rPr>
        <w:t xml:space="preserve"> </w:t>
      </w:r>
      <w:r w:rsidRPr="00F83233">
        <w:rPr>
          <w:noProof/>
          <w:lang w:val="es-ES"/>
        </w:rPr>
        <w:drawing>
          <wp:inline distT="0" distB="0" distL="0" distR="0" wp14:anchorId="60868997" wp14:editId="24594BC3">
            <wp:extent cx="1817370" cy="1028700"/>
            <wp:effectExtent l="19050" t="19050" r="1143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8551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028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3233">
        <w:rPr>
          <w:lang w:val="es-ES"/>
        </w:rPr>
        <w:t xml:space="preserve"> </w:t>
      </w:r>
      <w:r w:rsidRPr="00F83233">
        <w:rPr>
          <w:noProof/>
          <w:lang w:val="es-ES"/>
        </w:rPr>
        <w:drawing>
          <wp:inline distT="0" distB="0" distL="0" distR="0" wp14:anchorId="10BC2C85" wp14:editId="1E049208">
            <wp:extent cx="1817370" cy="1028700"/>
            <wp:effectExtent l="19050" t="19050" r="1143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81148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1028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0CF0C4" w14:textId="6028D0DC" w:rsidR="00EF57CE" w:rsidRPr="00F83233" w:rsidRDefault="00EF57CE" w:rsidP="00BA7B3C">
      <w:pPr>
        <w:rPr>
          <w:lang w:val="es-ES"/>
        </w:rPr>
      </w:pPr>
      <w:r w:rsidRPr="00F83233">
        <w:rPr>
          <w:lang w:val="es-ES"/>
        </w:rPr>
        <w:t>Esta presentación está diseñada para utilizarse en reuniones con clientes, en llamadas o en seminarios web. Cuenta la historia de la campa</w:t>
      </w:r>
      <w:r w:rsidR="00F83233">
        <w:rPr>
          <w:lang w:val="es-ES"/>
        </w:rPr>
        <w:t>ñ</w:t>
      </w:r>
      <w:r w:rsidRPr="00F83233">
        <w:rPr>
          <w:lang w:val="es-ES"/>
        </w:rPr>
        <w:t xml:space="preserve">a </w:t>
      </w:r>
      <w:r w:rsidRPr="00F83233">
        <w:rPr>
          <w:b/>
          <w:bCs/>
          <w:lang w:val="es-ES"/>
        </w:rPr>
        <w:t>Conecta tu empresa para impulsar la productividad y las ganancias</w:t>
      </w:r>
      <w:r w:rsidRPr="00F83233">
        <w:rPr>
          <w:lang w:val="es-ES"/>
        </w:rPr>
        <w:t xml:space="preserve"> y detalla los beneficios de la solución </w:t>
      </w:r>
      <w:r w:rsidRPr="00F83233">
        <w:rPr>
          <w:lang w:val="es-ES"/>
        </w:rPr>
        <w:t>Dynamics 365 Business Central</w:t>
      </w:r>
      <w:r w:rsidRPr="00F83233">
        <w:rPr>
          <w:lang w:val="es-ES"/>
        </w:rPr>
        <w:t>.</w:t>
      </w:r>
    </w:p>
    <w:p w14:paraId="674E9835" w14:textId="421879D2" w:rsidR="00BA7B3C" w:rsidRPr="00F83233" w:rsidRDefault="00EF57CE" w:rsidP="00BA7B3C">
      <w:pPr>
        <w:rPr>
          <w:lang w:val="es-ES"/>
        </w:rPr>
      </w:pPr>
      <w:r w:rsidRPr="00F83233">
        <w:rPr>
          <w:lang w:val="es-ES"/>
        </w:rPr>
        <w:t xml:space="preserve">Asegúrate de tener tu propia propuesta de valor, detallar tus soluciones o servicios, compartir tus propios casos prácticos o testimonios. Recuerda incluir tu información de contacto y personalización de marca en todo momento, para que el cliente y el posible cliente reconozcan tu rol en la implementación de una solución </w:t>
      </w:r>
      <w:r w:rsidR="00857DE0" w:rsidRPr="00F83233">
        <w:rPr>
          <w:lang w:val="es-ES"/>
        </w:rPr>
        <w:t>Dynamics 365 Business Central</w:t>
      </w:r>
      <w:r w:rsidR="00857DE0" w:rsidRPr="00F83233">
        <w:rPr>
          <w:lang w:val="es-ES"/>
        </w:rPr>
        <w:t>.</w:t>
      </w:r>
    </w:p>
    <w:p w14:paraId="4D3217EC" w14:textId="70D82C63" w:rsidR="00BA7B3C" w:rsidRPr="00F83233" w:rsidRDefault="00A02F94" w:rsidP="00BA7B3C">
      <w:pPr>
        <w:pStyle w:val="Heading1"/>
        <w:rPr>
          <w:color w:val="008272"/>
          <w:lang w:val="es-ES"/>
        </w:rPr>
      </w:pPr>
      <w:r w:rsidRPr="00F83233">
        <w:rPr>
          <w:color w:val="008272"/>
          <w:lang w:val="es-ES"/>
        </w:rPr>
        <w:lastRenderedPageBreak/>
        <w:t>Descripción general</w:t>
      </w:r>
      <w:r w:rsidR="00AF079E" w:rsidRPr="00F83233">
        <w:rPr>
          <w:color w:val="008272"/>
          <w:lang w:val="es-ES"/>
        </w:rPr>
        <w:t xml:space="preserve"> de la solución</w:t>
      </w:r>
    </w:p>
    <w:p w14:paraId="15CC9D71" w14:textId="77777777" w:rsidR="00BA7B3C" w:rsidRPr="00F83233" w:rsidRDefault="00857DE0" w:rsidP="00BA7B3C">
      <w:pPr>
        <w:rPr>
          <w:lang w:val="es-ES"/>
        </w:rPr>
      </w:pPr>
      <w:r w:rsidRPr="00F83233">
        <w:rPr>
          <w:noProof/>
          <w:lang w:val="es-ES"/>
        </w:rPr>
        <w:drawing>
          <wp:inline distT="0" distB="0" distL="0" distR="0" wp14:anchorId="3062FAB9" wp14:editId="60395F6D">
            <wp:extent cx="1820524" cy="2366682"/>
            <wp:effectExtent l="19050" t="19050" r="27940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7165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24" cy="23666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3233">
        <w:rPr>
          <w:lang w:val="es-ES"/>
        </w:rPr>
        <w:t xml:space="preserve"> </w:t>
      </w:r>
      <w:r w:rsidRPr="00F83233">
        <w:rPr>
          <w:noProof/>
          <w:lang w:val="es-ES"/>
        </w:rPr>
        <w:drawing>
          <wp:inline distT="0" distB="0" distL="0" distR="0" wp14:anchorId="140EB8BC" wp14:editId="13D1B980">
            <wp:extent cx="1820524" cy="2366682"/>
            <wp:effectExtent l="19050" t="19050" r="27940" b="146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020118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24" cy="236668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0B052" w14:textId="1D829D39" w:rsidR="00BA7B3C" w:rsidRPr="00F83233" w:rsidRDefault="00A02F94" w:rsidP="00BA7B3C">
      <w:pPr>
        <w:rPr>
          <w:lang w:val="es-ES"/>
        </w:rPr>
      </w:pPr>
      <w:r w:rsidRPr="00F83233">
        <w:rPr>
          <w:lang w:val="es-ES"/>
        </w:rPr>
        <w:t xml:space="preserve">La descripción general de la solución puede imprimirse como material para entregar después de una reunión con un cliente, información para entregar en un evento de clientes o para adjuntar como PDF a un correo electrónico. </w:t>
      </w:r>
      <w:r w:rsidR="00857DE0" w:rsidRPr="00F83233">
        <w:rPr>
          <w:lang w:val="es-ES"/>
        </w:rPr>
        <w:t xml:space="preserve"> </w:t>
      </w:r>
    </w:p>
    <w:p w14:paraId="54D6E0F4" w14:textId="6208C68A" w:rsidR="00A02F94" w:rsidRPr="00F83233" w:rsidRDefault="00A02F94" w:rsidP="00BA7B3C">
      <w:pPr>
        <w:rPr>
          <w:b/>
          <w:bCs/>
          <w:lang w:val="es-ES"/>
        </w:rPr>
      </w:pPr>
      <w:r w:rsidRPr="00F83233">
        <w:rPr>
          <w:lang w:val="es-ES"/>
        </w:rPr>
        <w:t xml:space="preserve">Está diseñado para que puedas agregar tu logotipo, llamada a la acción e información de contacto. Tienes total libertad de modificar el </w:t>
      </w:r>
      <w:proofErr w:type="spellStart"/>
      <w:r w:rsidR="0043467B" w:rsidRPr="00F83233">
        <w:rPr>
          <w:i/>
          <w:iCs/>
          <w:lang w:val="es-ES"/>
        </w:rPr>
        <w:t>copy</w:t>
      </w:r>
      <w:proofErr w:type="spellEnd"/>
      <w:r w:rsidRPr="00F83233">
        <w:rPr>
          <w:lang w:val="es-ES"/>
        </w:rPr>
        <w:t xml:space="preserve"> para incluir tu solución única o mensajería de servicio para mejorar la campaña de </w:t>
      </w:r>
      <w:r w:rsidRPr="00F83233">
        <w:rPr>
          <w:b/>
          <w:bCs/>
          <w:lang w:val="es-ES"/>
        </w:rPr>
        <w:t xml:space="preserve">Conecta tu empresa para impulsar la productividad y las ganancias. </w:t>
      </w:r>
    </w:p>
    <w:p w14:paraId="27115DE0" w14:textId="66330F50" w:rsidR="00BA7B3C" w:rsidRPr="00F83233" w:rsidRDefault="00A02F94" w:rsidP="00BA7B3C">
      <w:pPr>
        <w:pStyle w:val="Heading1"/>
        <w:rPr>
          <w:color w:val="008272"/>
          <w:lang w:val="es-ES"/>
        </w:rPr>
      </w:pPr>
      <w:r w:rsidRPr="00F83233">
        <w:rPr>
          <w:color w:val="008272"/>
          <w:lang w:val="es-ES"/>
        </w:rPr>
        <w:t>Infografía</w:t>
      </w:r>
    </w:p>
    <w:p w14:paraId="69F073C7" w14:textId="1D259B53" w:rsidR="00A02F94" w:rsidRPr="00F83233" w:rsidRDefault="00857DE0" w:rsidP="006D51A0">
      <w:pPr>
        <w:rPr>
          <w:lang w:val="es-ES"/>
        </w:rPr>
      </w:pPr>
      <w:r w:rsidRPr="00F83233"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6FC615A0" wp14:editId="1D3888D3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984250" cy="2734310"/>
            <wp:effectExtent l="19050" t="19050" r="25400" b="27940"/>
            <wp:wrapTight wrapText="bothSides">
              <wp:wrapPolygon edited="0">
                <wp:start x="-418" y="-150"/>
                <wp:lineTo x="-418" y="21670"/>
                <wp:lineTo x="21739" y="21670"/>
                <wp:lineTo x="21739" y="-150"/>
                <wp:lineTo x="-418" y="-15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457404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93" cy="273470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233">
        <w:rPr>
          <w:lang w:val="es-ES"/>
        </w:rPr>
        <w:t xml:space="preserve"> </w:t>
      </w:r>
    </w:p>
    <w:p w14:paraId="4F69C9E9" w14:textId="1E5E2EBD" w:rsidR="00A02F94" w:rsidRPr="00F83233" w:rsidRDefault="00A02F94" w:rsidP="006D51A0">
      <w:pPr>
        <w:rPr>
          <w:lang w:val="es-ES"/>
        </w:rPr>
      </w:pPr>
      <w:r w:rsidRPr="00F83233">
        <w:rPr>
          <w:lang w:val="es-ES"/>
        </w:rPr>
        <w:t>La infografía es un activ</w:t>
      </w:r>
      <w:r w:rsidR="00F83233">
        <w:rPr>
          <w:lang w:val="es-ES"/>
        </w:rPr>
        <w:t>o</w:t>
      </w:r>
      <w:r w:rsidRPr="00F83233">
        <w:rPr>
          <w:lang w:val="es-ES"/>
        </w:rPr>
        <w:t xml:space="preserve"> digital que puede publicarse en publicaciones en redes sociales, en tu sitio web o como enlace desde una entrada de blog. </w:t>
      </w:r>
    </w:p>
    <w:p w14:paraId="1DCC69A7" w14:textId="6E9A25D5" w:rsidR="00A02F94" w:rsidRPr="00F83233" w:rsidRDefault="00A02F94" w:rsidP="006D51A0">
      <w:pPr>
        <w:rPr>
          <w:lang w:val="es-ES"/>
        </w:rPr>
      </w:pPr>
      <w:r w:rsidRPr="00F83233">
        <w:rPr>
          <w:lang w:val="es-ES"/>
        </w:rPr>
        <w:t xml:space="preserve">Asegúrate de personalizar el </w:t>
      </w:r>
      <w:proofErr w:type="spellStart"/>
      <w:r w:rsidR="0043467B" w:rsidRPr="00F83233">
        <w:rPr>
          <w:i/>
          <w:iCs/>
          <w:lang w:val="es-ES"/>
        </w:rPr>
        <w:t>copy</w:t>
      </w:r>
      <w:proofErr w:type="spellEnd"/>
      <w:r w:rsidRPr="00F83233">
        <w:rPr>
          <w:lang w:val="es-ES"/>
        </w:rPr>
        <w:t xml:space="preserve"> cuando publiques este activo para incluir tu propuesta de valor única, llamada a la acción e información de contacto. Hemos dejado espacio en blanco en la parte inferior de la infografía para que puedas insertar tu logotipo e información de contacto. </w:t>
      </w:r>
    </w:p>
    <w:p w14:paraId="52FEC98A" w14:textId="77777777" w:rsidR="0043467B" w:rsidRPr="00F83233" w:rsidRDefault="0043467B" w:rsidP="006D51A0">
      <w:pPr>
        <w:rPr>
          <w:lang w:val="es-ES"/>
        </w:rPr>
      </w:pPr>
    </w:p>
    <w:p w14:paraId="3C398087" w14:textId="77777777" w:rsidR="007F7B27" w:rsidRPr="00F83233" w:rsidRDefault="007F7B27" w:rsidP="007F7B27">
      <w:pPr>
        <w:pStyle w:val="NoSpacing"/>
        <w:rPr>
          <w:lang w:val="es-ES"/>
        </w:rPr>
      </w:pPr>
    </w:p>
    <w:p w14:paraId="5127E19E" w14:textId="02C03FFE" w:rsidR="0043467B" w:rsidRPr="00F83233" w:rsidRDefault="0043467B" w:rsidP="00862E39">
      <w:pPr>
        <w:pStyle w:val="NoSpacing"/>
        <w:spacing w:line="259" w:lineRule="auto"/>
        <w:rPr>
          <w:lang w:val="es-ES"/>
        </w:rPr>
      </w:pPr>
      <w:r w:rsidRPr="00F83233">
        <w:rPr>
          <w:lang w:val="es-ES"/>
        </w:rPr>
        <w:t xml:space="preserve">Sin embargo, la infografía se creó en Adobe </w:t>
      </w:r>
      <w:proofErr w:type="spellStart"/>
      <w:r w:rsidR="00F83233" w:rsidRPr="00F83233">
        <w:rPr>
          <w:lang w:val="es-ES"/>
        </w:rPr>
        <w:t>Il</w:t>
      </w:r>
      <w:r w:rsidR="00F83233">
        <w:rPr>
          <w:lang w:val="es-ES"/>
        </w:rPr>
        <w:t>l</w:t>
      </w:r>
      <w:r w:rsidR="00F83233" w:rsidRPr="00F83233">
        <w:rPr>
          <w:lang w:val="es-ES"/>
        </w:rPr>
        <w:t>ustra</w:t>
      </w:r>
      <w:r w:rsidR="00DD5FBE">
        <w:rPr>
          <w:lang w:val="es-ES"/>
        </w:rPr>
        <w:t>t</w:t>
      </w:r>
      <w:r w:rsidR="00F83233" w:rsidRPr="00F83233">
        <w:rPr>
          <w:lang w:val="es-ES"/>
        </w:rPr>
        <w:t>or</w:t>
      </w:r>
      <w:proofErr w:type="spellEnd"/>
      <w:r w:rsidRPr="00F83233">
        <w:rPr>
          <w:lang w:val="es-ES"/>
        </w:rPr>
        <w:t>, por lo que no podrá</w:t>
      </w:r>
      <w:r w:rsidR="00F83233">
        <w:rPr>
          <w:lang w:val="es-ES"/>
        </w:rPr>
        <w:t>s</w:t>
      </w:r>
      <w:r w:rsidRPr="00F83233">
        <w:rPr>
          <w:lang w:val="es-ES"/>
        </w:rPr>
        <w:t xml:space="preserve"> editarla a menos que tenga</w:t>
      </w:r>
      <w:r w:rsidR="00F83233">
        <w:rPr>
          <w:lang w:val="es-ES"/>
        </w:rPr>
        <w:t>s</w:t>
      </w:r>
      <w:r w:rsidRPr="00F83233">
        <w:rPr>
          <w:lang w:val="es-ES"/>
        </w:rPr>
        <w:t xml:space="preserve"> acceso al software de Adobe. La mayoría de los diseñadores tienen acceso a las herramientas de Adobe y pueden editar este </w:t>
      </w:r>
      <w:r w:rsidRPr="00F83233">
        <w:rPr>
          <w:lang w:val="es-ES"/>
        </w:rPr>
        <w:lastRenderedPageBreak/>
        <w:t>archivo, pero no podrá</w:t>
      </w:r>
      <w:r w:rsidR="00F83233">
        <w:rPr>
          <w:lang w:val="es-ES"/>
        </w:rPr>
        <w:t>s</w:t>
      </w:r>
      <w:r w:rsidRPr="00F83233">
        <w:rPr>
          <w:lang w:val="es-ES"/>
        </w:rPr>
        <w:t xml:space="preserve"> abrir el archivo a menos que tenga</w:t>
      </w:r>
      <w:r w:rsidR="00F83233">
        <w:rPr>
          <w:lang w:val="es-ES"/>
        </w:rPr>
        <w:t>s</w:t>
      </w:r>
      <w:r w:rsidRPr="00F83233">
        <w:rPr>
          <w:lang w:val="es-ES"/>
        </w:rPr>
        <w:t xml:space="preserve"> el software instalado. No dejes que eso te impida publicar este activo y personalizar el </w:t>
      </w:r>
      <w:proofErr w:type="spellStart"/>
      <w:r w:rsidRPr="00F83233">
        <w:rPr>
          <w:i/>
          <w:iCs/>
          <w:lang w:val="es-ES"/>
        </w:rPr>
        <w:t>copy</w:t>
      </w:r>
      <w:proofErr w:type="spellEnd"/>
      <w:r w:rsidRPr="00F83233">
        <w:rPr>
          <w:lang w:val="es-ES"/>
        </w:rPr>
        <w:t xml:space="preserve"> asociado en tu plataforma de elección. </w:t>
      </w:r>
    </w:p>
    <w:p w14:paraId="1D548251" w14:textId="4523BFC2" w:rsidR="00BA7B3C" w:rsidRPr="00F83233" w:rsidRDefault="00F83233" w:rsidP="00BA7B3C">
      <w:pPr>
        <w:pStyle w:val="Heading1"/>
        <w:rPr>
          <w:color w:val="008272"/>
          <w:lang w:val="es-ES"/>
        </w:rPr>
      </w:pPr>
      <w:r>
        <w:rPr>
          <w:color w:val="008272"/>
          <w:lang w:val="es-ES"/>
        </w:rPr>
        <w:t>Correos electrónicos</w:t>
      </w:r>
    </w:p>
    <w:p w14:paraId="4E18238F" w14:textId="77777777" w:rsidR="007F7B27" w:rsidRPr="00F83233" w:rsidRDefault="00857DE0" w:rsidP="00BA7B3C">
      <w:pPr>
        <w:rPr>
          <w:lang w:val="es-ES"/>
        </w:rPr>
      </w:pPr>
      <w:r w:rsidRPr="00F83233">
        <w:rPr>
          <w:noProof/>
          <w:lang w:val="es-ES"/>
        </w:rPr>
        <w:drawing>
          <wp:inline distT="0" distB="0" distL="0" distR="0" wp14:anchorId="1CE5B722" wp14:editId="33AF5AD6">
            <wp:extent cx="3568946" cy="2635530"/>
            <wp:effectExtent l="19050" t="19050" r="1270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526595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46" cy="263553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  <a:round/>
                      <a:headEnd/>
                      <a:tailEnd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70279" w14:textId="5DECC015" w:rsidR="0043467B" w:rsidRPr="00F83233" w:rsidRDefault="0043467B" w:rsidP="00BA7B3C">
      <w:pPr>
        <w:rPr>
          <w:lang w:val="es-ES"/>
        </w:rPr>
      </w:pPr>
      <w:r w:rsidRPr="00F83233">
        <w:rPr>
          <w:lang w:val="es-ES"/>
        </w:rPr>
        <w:t xml:space="preserve">Hemos proporcionado tres correos electrónicos educativos dirigidos ya sea al Tomador de decisiones empresariales (BDM, por sus siglas en inglés) o para el tomador de decisiones de TI (ITDM, por sus siglas en inglés). Estos correos electrónicos están en formato de Word para que sea sencillo copiar y pegar en tu plataforma de correo electrónico de elección. Recomendamos usar una plataforma de automatización digital que te permitirá realizar un seguimiento de las métricas y planificar un flujo de correos educativos. </w:t>
      </w:r>
    </w:p>
    <w:p w14:paraId="4D0A5C05" w14:textId="6DE650CB" w:rsidR="00BA7B3C" w:rsidRPr="00F83233" w:rsidRDefault="0068674D" w:rsidP="00BA7B3C">
      <w:pPr>
        <w:pStyle w:val="Heading1"/>
        <w:rPr>
          <w:color w:val="008272"/>
          <w:lang w:val="es-ES"/>
        </w:rPr>
      </w:pPr>
      <w:proofErr w:type="spellStart"/>
      <w:r w:rsidRPr="00F83233">
        <w:rPr>
          <w:i/>
          <w:iCs/>
          <w:color w:val="008272"/>
          <w:lang w:val="es-ES"/>
        </w:rPr>
        <w:t>Copy</w:t>
      </w:r>
      <w:proofErr w:type="spellEnd"/>
      <w:r w:rsidRPr="00F83233">
        <w:rPr>
          <w:color w:val="008272"/>
          <w:lang w:val="es-ES"/>
        </w:rPr>
        <w:t xml:space="preserve"> para redes sociales</w:t>
      </w:r>
    </w:p>
    <w:p w14:paraId="21790A9A" w14:textId="77777777" w:rsidR="00BA7B3C" w:rsidRPr="00F83233" w:rsidRDefault="00857DE0" w:rsidP="00BA7B3C">
      <w:pPr>
        <w:rPr>
          <w:lang w:val="es-ES"/>
        </w:rPr>
      </w:pPr>
      <w:r w:rsidRPr="00F83233">
        <w:rPr>
          <w:noProof/>
          <w:lang w:val="es-ES"/>
        </w:rPr>
        <w:drawing>
          <wp:inline distT="0" distB="0" distL="0" distR="0" wp14:anchorId="693C8228" wp14:editId="515A1E22">
            <wp:extent cx="4904953" cy="2013227"/>
            <wp:effectExtent l="19050" t="19050" r="1016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63545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953" cy="20132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8872B" w14:textId="36DBC931" w:rsidR="006D51A0" w:rsidRPr="00F83233" w:rsidRDefault="006D51A0" w:rsidP="00BA7B3C">
      <w:pPr>
        <w:rPr>
          <w:lang w:val="es-ES"/>
        </w:rPr>
      </w:pPr>
    </w:p>
    <w:p w14:paraId="5336A370" w14:textId="7228EF54" w:rsidR="0040443A" w:rsidRPr="00F83233" w:rsidRDefault="0040443A" w:rsidP="00BA7B3C">
      <w:pPr>
        <w:rPr>
          <w:lang w:val="es-ES"/>
        </w:rPr>
      </w:pPr>
    </w:p>
    <w:p w14:paraId="65865290" w14:textId="2463A2B4" w:rsidR="006D51A0" w:rsidRPr="00F83233" w:rsidRDefault="0040443A" w:rsidP="00BA7B3C">
      <w:pPr>
        <w:rPr>
          <w:lang w:val="es-ES"/>
        </w:rPr>
      </w:pPr>
      <w:r w:rsidRPr="00F83233">
        <w:rPr>
          <w:lang w:val="es-ES"/>
        </w:rPr>
        <w:t>Hay tres banne</w:t>
      </w:r>
      <w:r w:rsidR="004516BB" w:rsidRPr="00F83233">
        <w:rPr>
          <w:lang w:val="es-ES"/>
        </w:rPr>
        <w:t>r</w:t>
      </w:r>
      <w:r w:rsidRPr="00F83233">
        <w:rPr>
          <w:lang w:val="es-ES"/>
        </w:rPr>
        <w:t xml:space="preserve">s para redes sociales incluidos en la lista de materiales de </w:t>
      </w:r>
      <w:r w:rsidRPr="00F83233">
        <w:rPr>
          <w:b/>
          <w:bCs/>
          <w:lang w:val="es-ES"/>
        </w:rPr>
        <w:t>Conecta tu empresa para impulsar la productividad y las ganancias</w:t>
      </w:r>
      <w:r w:rsidRPr="00F83233">
        <w:rPr>
          <w:lang w:val="es-ES"/>
        </w:rPr>
        <w:t xml:space="preserve">. Cada uno ha sido optimizado tanto para </w:t>
      </w:r>
      <w:proofErr w:type="spellStart"/>
      <w:r w:rsidRPr="00F83233">
        <w:rPr>
          <w:lang w:val="es-ES"/>
        </w:rPr>
        <w:t>Linkedin</w:t>
      </w:r>
      <w:proofErr w:type="spellEnd"/>
      <w:r w:rsidRPr="00F83233">
        <w:rPr>
          <w:lang w:val="es-ES"/>
        </w:rPr>
        <w:t xml:space="preserve"> como para Twitter. Asegúrate de publicar el gráfico correcto en cada plataforma para garantizar que se muestre de manera apropiada.</w:t>
      </w:r>
    </w:p>
    <w:p w14:paraId="4506A15C" w14:textId="5F066904" w:rsidR="0040443A" w:rsidRPr="00F83233" w:rsidRDefault="0040443A" w:rsidP="00BA7B3C">
      <w:pPr>
        <w:rPr>
          <w:lang w:val="es-ES"/>
        </w:rPr>
      </w:pPr>
      <w:r w:rsidRPr="00F83233">
        <w:rPr>
          <w:lang w:val="es-ES"/>
        </w:rPr>
        <w:t>(Nota: los archivos de imagen están incluidos en un archivo .</w:t>
      </w:r>
      <w:proofErr w:type="spellStart"/>
      <w:r w:rsidRPr="00F83233">
        <w:rPr>
          <w:lang w:val="es-ES"/>
        </w:rPr>
        <w:t>zip</w:t>
      </w:r>
      <w:proofErr w:type="spellEnd"/>
      <w:r w:rsidRPr="00F83233">
        <w:rPr>
          <w:lang w:val="es-ES"/>
        </w:rPr>
        <w:t xml:space="preserve">, integrado en la primera página del documento del </w:t>
      </w:r>
      <w:proofErr w:type="spellStart"/>
      <w:r w:rsidRPr="00F83233">
        <w:rPr>
          <w:i/>
          <w:iCs/>
          <w:lang w:val="es-ES"/>
        </w:rPr>
        <w:t>copy</w:t>
      </w:r>
      <w:proofErr w:type="spellEnd"/>
      <w:r w:rsidRPr="00F83233">
        <w:rPr>
          <w:lang w:val="es-ES"/>
        </w:rPr>
        <w:t xml:space="preserve"> para redes sociales. No copie</w:t>
      </w:r>
      <w:r w:rsidR="00531320">
        <w:rPr>
          <w:lang w:val="es-ES"/>
        </w:rPr>
        <w:t>s</w:t>
      </w:r>
      <w:r w:rsidRPr="00F83233">
        <w:rPr>
          <w:lang w:val="es-ES"/>
        </w:rPr>
        <w:t xml:space="preserve"> los banners directamente desde el documento de Word).</w:t>
      </w:r>
    </w:p>
    <w:p w14:paraId="6648004B" w14:textId="0ABC413E" w:rsidR="0040443A" w:rsidRPr="00F83233" w:rsidRDefault="0040443A" w:rsidP="00BA7B3C">
      <w:pPr>
        <w:rPr>
          <w:lang w:val="es-ES"/>
        </w:rPr>
      </w:pPr>
      <w:r w:rsidRPr="00F83233">
        <w:rPr>
          <w:lang w:val="es-ES"/>
        </w:rPr>
        <w:t xml:space="preserve">Cada banner tiene un </w:t>
      </w:r>
      <w:proofErr w:type="spellStart"/>
      <w:r w:rsidRPr="00F83233">
        <w:rPr>
          <w:i/>
          <w:iCs/>
          <w:lang w:val="es-ES"/>
        </w:rPr>
        <w:t>copy</w:t>
      </w:r>
      <w:proofErr w:type="spellEnd"/>
      <w:r w:rsidRPr="00F83233">
        <w:rPr>
          <w:lang w:val="es-ES"/>
        </w:rPr>
        <w:t xml:space="preserve"> </w:t>
      </w:r>
      <w:r w:rsidR="00531320">
        <w:rPr>
          <w:lang w:val="es-ES"/>
        </w:rPr>
        <w:t xml:space="preserve">incluido recomendado para redes sociales. Personaliza el </w:t>
      </w:r>
      <w:proofErr w:type="spellStart"/>
      <w:r w:rsidR="00531320" w:rsidRPr="00531320">
        <w:rPr>
          <w:i/>
          <w:iCs/>
          <w:lang w:val="es-ES"/>
        </w:rPr>
        <w:t>copy</w:t>
      </w:r>
      <w:proofErr w:type="spellEnd"/>
      <w:r w:rsidR="00531320">
        <w:rPr>
          <w:lang w:val="es-ES"/>
        </w:rPr>
        <w:t xml:space="preserve"> para incluir tu propuesta de valor única, tu oferta de servicios, llamada a la acción o enlace a tu</w:t>
      </w:r>
      <w:r w:rsidR="00DD5FBE">
        <w:rPr>
          <w:lang w:val="es-ES"/>
        </w:rPr>
        <w:t xml:space="preserve"> página de aterrizaje </w:t>
      </w:r>
      <w:r w:rsidR="00531320">
        <w:rPr>
          <w:lang w:val="es-ES"/>
        </w:rPr>
        <w:t xml:space="preserve">de </w:t>
      </w:r>
      <w:r w:rsidR="00531320" w:rsidRPr="00F83233">
        <w:rPr>
          <w:lang w:val="es-ES"/>
        </w:rPr>
        <w:t>Dynamics 365 Business Central</w:t>
      </w:r>
      <w:r w:rsidR="00DD5FBE">
        <w:rPr>
          <w:lang w:val="es-ES"/>
        </w:rPr>
        <w:t>.</w:t>
      </w:r>
    </w:p>
    <w:p w14:paraId="23E00B36" w14:textId="4440A3EF" w:rsidR="00AA40A7" w:rsidRPr="00F83233" w:rsidRDefault="00A02F94" w:rsidP="00AA40A7">
      <w:pPr>
        <w:pStyle w:val="Heading1"/>
        <w:rPr>
          <w:color w:val="008272"/>
          <w:lang w:val="es-ES"/>
        </w:rPr>
      </w:pPr>
      <w:r w:rsidRPr="00F83233">
        <w:rPr>
          <w:color w:val="008272"/>
          <w:lang w:val="es-ES"/>
        </w:rPr>
        <w:t>Guion de ventas</w:t>
      </w:r>
    </w:p>
    <w:p w14:paraId="23598719" w14:textId="0561316E" w:rsidR="004516BB" w:rsidRPr="00F83233" w:rsidRDefault="004516BB" w:rsidP="00AA40A7">
      <w:pPr>
        <w:rPr>
          <w:lang w:val="es-ES"/>
        </w:rPr>
      </w:pPr>
      <w:r w:rsidRPr="00F83233">
        <w:rPr>
          <w:lang w:val="es-ES"/>
        </w:rPr>
        <w:t xml:space="preserve">Aprovecha estos puntos de conversación mientras esté en las llamadas de ventas para abordar los puntos </w:t>
      </w:r>
      <w:r w:rsidR="00DD5FBE">
        <w:rPr>
          <w:lang w:val="es-ES"/>
        </w:rPr>
        <w:t>de dificultad</w:t>
      </w:r>
      <w:r w:rsidRPr="00F83233">
        <w:rPr>
          <w:lang w:val="es-ES"/>
        </w:rPr>
        <w:t xml:space="preserve"> de los clientes y entender dónde están en su recorrido de compra de ERP. Este guion ayudará a tus vendedores</w:t>
      </w:r>
      <w:r w:rsidR="00F83233" w:rsidRPr="00F83233">
        <w:rPr>
          <w:lang w:val="es-ES"/>
        </w:rPr>
        <w:t xml:space="preserve"> </w:t>
      </w:r>
      <w:r w:rsidR="00283F9D">
        <w:rPr>
          <w:lang w:val="es-ES"/>
        </w:rPr>
        <w:t>dirigirse</w:t>
      </w:r>
      <w:r w:rsidR="00F83233" w:rsidRPr="00F83233">
        <w:rPr>
          <w:lang w:val="es-ES"/>
        </w:rPr>
        <w:t xml:space="preserve"> a los clientes apropiados que probablemente compren una solución de Dynamics 365 Business Central y podrán orientarlos sobre cómo educar a esos potenciales clientes con preguntas abiertas </w:t>
      </w:r>
      <w:r w:rsidR="00F83233" w:rsidRPr="00283F9D">
        <w:rPr>
          <w:lang w:val="es-ES"/>
        </w:rPr>
        <w:t>y puntos de prueba de la solución.</w:t>
      </w:r>
      <w:r w:rsidR="00F83233" w:rsidRPr="00F83233">
        <w:rPr>
          <w:lang w:val="es-ES"/>
        </w:rPr>
        <w:t xml:space="preserve">   </w:t>
      </w:r>
    </w:p>
    <w:p w14:paraId="7EB3FF85" w14:textId="77777777" w:rsidR="004516BB" w:rsidRPr="004516BB" w:rsidRDefault="004516BB" w:rsidP="004516BB">
      <w:pPr>
        <w:rPr>
          <w:lang w:val="es-ES"/>
        </w:rPr>
      </w:pPr>
      <w:r w:rsidRPr="004516BB">
        <w:rPr>
          <w:lang w:val="es-ES"/>
        </w:rPr>
        <w:t>Usa el guion de ventas para entender en qué parte del recorrido de compras de ERP se encuentran tus clientes. </w:t>
      </w:r>
    </w:p>
    <w:p w14:paraId="76258FCA" w14:textId="77777777" w:rsidR="004516BB" w:rsidRPr="00F83233" w:rsidRDefault="004516BB" w:rsidP="00AA40A7">
      <w:pPr>
        <w:rPr>
          <w:lang w:val="es-ES"/>
        </w:rPr>
      </w:pPr>
    </w:p>
    <w:p w14:paraId="50E17FB7" w14:textId="77777777" w:rsidR="00CF3D04" w:rsidRPr="00F83233" w:rsidRDefault="00857DE0" w:rsidP="00BA7B3C">
      <w:pPr>
        <w:rPr>
          <w:lang w:val="es-ES"/>
        </w:rPr>
      </w:pPr>
      <w:r w:rsidRPr="00F83233">
        <w:rPr>
          <w:noProof/>
          <w:lang w:val="es-ES"/>
        </w:rPr>
        <w:drawing>
          <wp:inline distT="0" distB="0" distL="0" distR="0" wp14:anchorId="0942E3E2" wp14:editId="662D0D4C">
            <wp:extent cx="1891860" cy="1463040"/>
            <wp:effectExtent l="19050" t="19050" r="13335" b="2286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26178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3233">
        <w:rPr>
          <w:noProof/>
          <w:lang w:val="es-ES"/>
        </w:rPr>
        <w:drawing>
          <wp:inline distT="0" distB="0" distL="0" distR="0" wp14:anchorId="6963FF4A" wp14:editId="3C459C30">
            <wp:extent cx="1891860" cy="1463040"/>
            <wp:effectExtent l="19050" t="19050" r="13335" b="228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93239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F83233">
        <w:rPr>
          <w:noProof/>
          <w:lang w:val="es-ES"/>
        </w:rPr>
        <w:drawing>
          <wp:inline distT="0" distB="0" distL="0" distR="0" wp14:anchorId="5585C344" wp14:editId="07A0DBC7">
            <wp:extent cx="1891860" cy="1463040"/>
            <wp:effectExtent l="19050" t="19050" r="13335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473018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60" cy="14630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C6D599" w14:textId="26B8C143" w:rsidR="00F83233" w:rsidRPr="00F83233" w:rsidRDefault="00A02F94" w:rsidP="00F83233">
      <w:pPr>
        <w:pStyle w:val="Heading1"/>
        <w:rPr>
          <w:rStyle w:val="normaltextrun"/>
          <w:rFonts w:ascii="Segoe UI" w:hAnsi="Segoe UI" w:cs="Segoe UI"/>
          <w:sz w:val="18"/>
          <w:szCs w:val="18"/>
          <w:lang w:val="es-ES"/>
        </w:rPr>
      </w:pPr>
      <w:r w:rsidRPr="00F83233">
        <w:rPr>
          <w:rStyle w:val="normaltextrun"/>
          <w:rFonts w:ascii="Segoe UI Semibold" w:hAnsi="Segoe UI Semibold" w:cs="Segoe UI Semibold"/>
          <w:color w:val="008272"/>
          <w:lang w:val="es-ES"/>
        </w:rPr>
        <w:t>Recursos adicionales</w:t>
      </w:r>
    </w:p>
    <w:p w14:paraId="4BF09B13" w14:textId="5056E714" w:rsidR="00F83233" w:rsidRPr="00F83233" w:rsidRDefault="00F83233" w:rsidP="00F83233">
      <w:pPr>
        <w:pStyle w:val="paragraph"/>
        <w:spacing w:line="259" w:lineRule="auto"/>
        <w:textAlignment w:val="baseline"/>
        <w:rPr>
          <w:rStyle w:val="normaltextrun"/>
          <w:sz w:val="22"/>
          <w:szCs w:val="22"/>
          <w:lang w:val="es-ES"/>
        </w:rPr>
      </w:pPr>
      <w:r w:rsidRPr="00F83233">
        <w:rPr>
          <w:rStyle w:val="normaltextrun"/>
          <w:sz w:val="22"/>
          <w:szCs w:val="22"/>
          <w:lang w:val="es-ES"/>
        </w:rPr>
        <w:t xml:space="preserve">Si bien los recursos anteriores están destinados a complementar </w:t>
      </w:r>
      <w:r w:rsidR="00283F9D">
        <w:rPr>
          <w:rStyle w:val="normaltextrun"/>
          <w:sz w:val="22"/>
          <w:szCs w:val="22"/>
          <w:lang w:val="es-ES"/>
        </w:rPr>
        <w:t>t</w:t>
      </w:r>
      <w:r w:rsidRPr="00F83233">
        <w:rPr>
          <w:rStyle w:val="normaltextrun"/>
          <w:sz w:val="22"/>
          <w:szCs w:val="22"/>
          <w:lang w:val="es-ES"/>
        </w:rPr>
        <w:t>us propios esfuerzos de marketing y ventas</w:t>
      </w:r>
      <w:r w:rsidRPr="00F83233">
        <w:rPr>
          <w:rStyle w:val="normaltextrun"/>
          <w:sz w:val="22"/>
          <w:szCs w:val="22"/>
          <w:lang w:val="es-ES"/>
        </w:rPr>
        <w:t>,</w:t>
      </w:r>
      <w:r w:rsidRPr="00F83233">
        <w:rPr>
          <w:rStyle w:val="normaltextrun"/>
          <w:sz w:val="22"/>
          <w:szCs w:val="22"/>
          <w:lang w:val="es-ES"/>
        </w:rPr>
        <w:t xml:space="preserve"> y ayudar a </w:t>
      </w:r>
      <w:r w:rsidRPr="00F83233">
        <w:rPr>
          <w:rStyle w:val="normaltextrun"/>
          <w:sz w:val="22"/>
          <w:szCs w:val="22"/>
          <w:lang w:val="es-ES"/>
        </w:rPr>
        <w:t>t</w:t>
      </w:r>
      <w:r w:rsidRPr="00F83233">
        <w:rPr>
          <w:rStyle w:val="normaltextrun"/>
          <w:sz w:val="22"/>
          <w:szCs w:val="22"/>
          <w:lang w:val="es-ES"/>
        </w:rPr>
        <w:t xml:space="preserve">u organización a capturar nuevos clientes, también nos gustaría destacar recursos adicionales diseñados para </w:t>
      </w:r>
      <w:r w:rsidRPr="00F83233">
        <w:rPr>
          <w:rStyle w:val="normaltextrun"/>
          <w:sz w:val="22"/>
          <w:szCs w:val="22"/>
          <w:lang w:val="es-ES"/>
        </w:rPr>
        <w:t>apoyar a</w:t>
      </w:r>
      <w:r w:rsidRPr="00F83233">
        <w:rPr>
          <w:rStyle w:val="normaltextrun"/>
          <w:sz w:val="22"/>
          <w:szCs w:val="22"/>
          <w:lang w:val="es-ES"/>
        </w:rPr>
        <w:t xml:space="preserve"> </w:t>
      </w:r>
      <w:r w:rsidRPr="00F83233">
        <w:rPr>
          <w:rStyle w:val="normaltextrun"/>
          <w:sz w:val="22"/>
          <w:szCs w:val="22"/>
          <w:lang w:val="es-ES"/>
        </w:rPr>
        <w:t>tu</w:t>
      </w:r>
      <w:r w:rsidRPr="00F83233">
        <w:rPr>
          <w:rStyle w:val="normaltextrun"/>
          <w:sz w:val="22"/>
          <w:szCs w:val="22"/>
          <w:lang w:val="es-ES"/>
        </w:rPr>
        <w:t xml:space="preserve"> organización sin importar dónde se encuentre</w:t>
      </w:r>
      <w:r w:rsidRPr="00F83233">
        <w:rPr>
          <w:rStyle w:val="normaltextrun"/>
          <w:sz w:val="22"/>
          <w:szCs w:val="22"/>
          <w:lang w:val="es-ES"/>
        </w:rPr>
        <w:t>n</w:t>
      </w:r>
      <w:r w:rsidRPr="00F83233">
        <w:rPr>
          <w:rStyle w:val="normaltextrun"/>
          <w:sz w:val="22"/>
          <w:szCs w:val="22"/>
          <w:lang w:val="es-ES"/>
        </w:rPr>
        <w:t xml:space="preserve"> </w:t>
      </w:r>
      <w:r w:rsidRPr="00F83233">
        <w:rPr>
          <w:rStyle w:val="normaltextrun"/>
          <w:sz w:val="22"/>
          <w:szCs w:val="22"/>
          <w:lang w:val="es-ES"/>
        </w:rPr>
        <w:t>en la</w:t>
      </w:r>
      <w:r w:rsidRPr="00F83233">
        <w:rPr>
          <w:rStyle w:val="normaltextrun"/>
          <w:sz w:val="22"/>
          <w:szCs w:val="22"/>
          <w:lang w:val="es-ES"/>
        </w:rPr>
        <w:t xml:space="preserve"> práctica de Dynamics 365.  </w:t>
      </w:r>
    </w:p>
    <w:p w14:paraId="4455DED6" w14:textId="77777777" w:rsidR="00F83233" w:rsidRPr="00F83233" w:rsidRDefault="00F83233" w:rsidP="00C07FDA">
      <w:pPr>
        <w:pStyle w:val="paragraph"/>
        <w:spacing w:before="0" w:beforeAutospacing="0" w:after="0" w:afterAutospacing="0" w:line="259" w:lineRule="auto"/>
        <w:textAlignment w:val="baseline"/>
        <w:rPr>
          <w:rStyle w:val="eop"/>
          <w:rFonts w:ascii="Segoe UI" w:eastAsiaTheme="majorEastAsia" w:hAnsi="Segoe UI" w:cs="Segoe UI"/>
          <w:color w:val="0078D4" w:themeColor="accent1"/>
          <w:sz w:val="22"/>
          <w:szCs w:val="22"/>
          <w:lang w:val="es-ES"/>
        </w:rPr>
      </w:pPr>
    </w:p>
    <w:p w14:paraId="0B15669B" w14:textId="77777777" w:rsidR="00CF3D04" w:rsidRPr="00F83233" w:rsidRDefault="00CF3D04" w:rsidP="00C07FDA">
      <w:pPr>
        <w:pStyle w:val="paragraph"/>
        <w:spacing w:before="0" w:beforeAutospacing="0" w:after="0" w:afterAutospacing="0" w:line="259" w:lineRule="auto"/>
        <w:textAlignment w:val="baseline"/>
        <w:rPr>
          <w:rFonts w:ascii="Segoe UI" w:hAnsi="Segoe UI" w:cs="Segoe UI"/>
          <w:sz w:val="18"/>
          <w:szCs w:val="18"/>
          <w:lang w:val="es-ES"/>
        </w:rPr>
      </w:pPr>
    </w:p>
    <w:p w14:paraId="4F0E09CC" w14:textId="44622262" w:rsidR="00CF3D04" w:rsidRPr="00F83233" w:rsidRDefault="00F83233" w:rsidP="00F83233">
      <w:pPr>
        <w:numPr>
          <w:ilvl w:val="0"/>
          <w:numId w:val="2"/>
        </w:numPr>
        <w:spacing w:after="0"/>
        <w:textAlignment w:val="baseline"/>
        <w:rPr>
          <w:rFonts w:cstheme="minorHAnsi"/>
          <w:color w:val="201F1E"/>
          <w:lang w:val="es-ES"/>
        </w:rPr>
      </w:pPr>
      <w:r w:rsidRPr="00F83233">
        <w:rPr>
          <w:rFonts w:cstheme="minorHAnsi"/>
          <w:color w:val="201F1E"/>
          <w:bdr w:val="none" w:sz="0" w:space="0" w:color="auto" w:frame="1"/>
          <w:lang w:val="es-ES"/>
        </w:rPr>
        <w:t>Visita la página</w:t>
      </w:r>
      <w:r w:rsidR="00DD5FBE">
        <w:rPr>
          <w:rFonts w:cstheme="minorHAnsi"/>
          <w:color w:val="201F1E"/>
          <w:bdr w:val="none" w:sz="0" w:space="0" w:color="auto" w:frame="1"/>
          <w:lang w:val="es-ES"/>
        </w:rPr>
        <w:t xml:space="preserve"> de aterrizaje de</w:t>
      </w:r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 </w:t>
      </w:r>
      <w:hyperlink r:id="rId20" w:tgtFrame="_blank" w:history="1">
        <w:r w:rsidR="00857DE0" w:rsidRPr="00857DE0">
          <w:rPr>
            <w:rStyle w:val="Hyperlink"/>
            <w:rFonts w:cstheme="minorHAnsi"/>
            <w:color w:val="4472C4"/>
            <w:highlight w:val="yellow"/>
            <w:bdr w:val="none" w:sz="0" w:space="0" w:color="auto" w:frame="1"/>
            <w:lang w:val="es-ES"/>
          </w:rPr>
          <w:t>US SMB Dynamics 365</w:t>
        </w:r>
        <w:r w:rsidR="00857DE0" w:rsidRPr="00857DE0">
          <w:rPr>
            <w:rStyle w:val="Hyperlink"/>
            <w:rFonts w:cstheme="minorHAnsi"/>
            <w:color w:val="4472C4"/>
            <w:highlight w:val="yellow"/>
            <w:bdr w:val="none" w:sz="0" w:space="0" w:color="auto" w:frame="1"/>
            <w:lang w:val="es-ES"/>
          </w:rPr>
          <w:t xml:space="preserve"> </w:t>
        </w:r>
        <w:r w:rsidR="00857DE0" w:rsidRPr="00857DE0">
          <w:rPr>
            <w:rStyle w:val="Hyperlink"/>
            <w:rFonts w:cstheme="minorHAnsi"/>
            <w:color w:val="4472C4"/>
            <w:highlight w:val="yellow"/>
            <w:bdr w:val="none" w:sz="0" w:space="0" w:color="auto" w:frame="1"/>
            <w:lang w:val="es-ES"/>
          </w:rPr>
          <w:t>Business Central</w:t>
        </w:r>
      </w:hyperlink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 </w:t>
      </w:r>
      <w:r w:rsidRPr="00F83233">
        <w:rPr>
          <w:rFonts w:cstheme="minorHAnsi"/>
          <w:color w:val="201F1E"/>
          <w:bdr w:val="none" w:sz="0" w:space="0" w:color="auto" w:frame="1"/>
          <w:lang w:val="es-ES"/>
        </w:rPr>
        <w:t>para consultar los recursos técnicos, de venta y de marketing relacionados con</w:t>
      </w:r>
      <w:r w:rsidRPr="00F83233">
        <w:rPr>
          <w:rFonts w:cstheme="minorHAnsi"/>
          <w:color w:val="201F1E"/>
          <w:lang w:val="es-ES"/>
        </w:rPr>
        <w:t xml:space="preserve"> </w:t>
      </w:r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Dynamics 365 Busines</w:t>
      </w:r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s Central. </w:t>
      </w:r>
    </w:p>
    <w:p w14:paraId="689AA781" w14:textId="5E5C3DBC" w:rsidR="00CF3D04" w:rsidRPr="00F83233" w:rsidRDefault="00F83233" w:rsidP="00C07FDA">
      <w:pPr>
        <w:numPr>
          <w:ilvl w:val="0"/>
          <w:numId w:val="2"/>
        </w:numPr>
        <w:spacing w:after="0"/>
        <w:textAlignment w:val="baseline"/>
        <w:rPr>
          <w:rFonts w:cstheme="minorHAnsi"/>
          <w:color w:val="201F1E"/>
          <w:lang w:val="es-ES"/>
        </w:rPr>
      </w:pPr>
      <w:r w:rsidRPr="00F83233">
        <w:rPr>
          <w:rFonts w:cstheme="minorHAnsi"/>
          <w:color w:val="201F1E"/>
          <w:bdr w:val="none" w:sz="0" w:space="0" w:color="auto" w:frame="1"/>
          <w:lang w:val="es-ES"/>
        </w:rPr>
        <w:t>Mira las demostraciones de</w:t>
      </w:r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 </w:t>
      </w:r>
      <w:hyperlink r:id="rId21" w:tgtFrame="_blank" w:history="1">
        <w:r w:rsidR="00857DE0"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>Dynamics 365 Business Centra</w:t>
        </w:r>
        <w:r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>l</w:t>
        </w:r>
      </w:hyperlink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> </w:t>
      </w:r>
      <w:r w:rsidRPr="00F83233">
        <w:rPr>
          <w:rFonts w:cstheme="minorHAnsi"/>
          <w:color w:val="201F1E"/>
          <w:bdr w:val="none" w:sz="0" w:space="0" w:color="auto" w:frame="1"/>
          <w:lang w:val="es-ES"/>
        </w:rPr>
        <w:t xml:space="preserve">y aprovéchalas con los clientes y potenciales clientes. </w:t>
      </w:r>
      <w:r w:rsidR="00857DE0" w:rsidRPr="00F83233">
        <w:rPr>
          <w:rFonts w:cstheme="minorHAnsi"/>
          <w:color w:val="201F1E"/>
          <w:bdr w:val="none" w:sz="0" w:space="0" w:color="auto" w:frame="1"/>
          <w:lang w:val="es-ES"/>
        </w:rPr>
        <w:t xml:space="preserve"> </w:t>
      </w:r>
    </w:p>
    <w:p w14:paraId="1018FC3F" w14:textId="683DC549" w:rsidR="00CF3D04" w:rsidRPr="00F83233" w:rsidRDefault="00F83233" w:rsidP="00C07FDA">
      <w:pPr>
        <w:numPr>
          <w:ilvl w:val="0"/>
          <w:numId w:val="2"/>
        </w:numPr>
        <w:spacing w:after="0"/>
        <w:textAlignment w:val="baseline"/>
        <w:rPr>
          <w:rFonts w:cstheme="minorHAnsi"/>
          <w:color w:val="201F1E"/>
          <w:lang w:val="es-ES"/>
        </w:rPr>
      </w:pPr>
      <w:r w:rsidRPr="00F83233">
        <w:rPr>
          <w:rFonts w:cstheme="minorHAnsi"/>
          <w:color w:val="201F1E"/>
          <w:bdr w:val="none" w:sz="0" w:space="0" w:color="auto" w:frame="1"/>
          <w:lang w:val="es-ES"/>
        </w:rPr>
        <w:t>Explora el</w:t>
      </w:r>
      <w:r w:rsidRPr="00F83233">
        <w:rPr>
          <w:lang w:val="es-ES"/>
        </w:rPr>
        <w:t xml:space="preserve"> </w:t>
      </w:r>
      <w:hyperlink r:id="rId22" w:tgtFrame="_blank" w:tooltip="https://docs.microsoft.com/en-us/learn/browse/?roles=functional-consultant&amp;products=dynamics-business-central&amp;resource_type=learning%20path" w:history="1">
        <w:r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>Recorrido de aprendizaje</w:t>
        </w:r>
        <w:r w:rsidR="00857DE0"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 xml:space="preserve"> </w:t>
        </w:r>
        <w:r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>para</w:t>
        </w:r>
        <w:r w:rsidR="00857DE0" w:rsidRPr="00F83233">
          <w:rPr>
            <w:rStyle w:val="Hyperlink"/>
            <w:rFonts w:cstheme="minorHAnsi"/>
            <w:bdr w:val="none" w:sz="0" w:space="0" w:color="auto" w:frame="1"/>
            <w:lang w:val="es-ES"/>
          </w:rPr>
          <w:t xml:space="preserve"> Dynamics 365 Business Central</w:t>
        </w:r>
      </w:hyperlink>
      <w:r w:rsidR="00772580" w:rsidRPr="00F83233">
        <w:rPr>
          <w:rStyle w:val="Hyperlink"/>
          <w:rFonts w:cstheme="minorHAnsi"/>
          <w:bdr w:val="none" w:sz="0" w:space="0" w:color="auto" w:frame="1"/>
          <w:lang w:val="es-ES"/>
        </w:rPr>
        <w:t>.</w:t>
      </w:r>
    </w:p>
    <w:sectPr w:rsidR="00CF3D04" w:rsidRPr="00F8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03315"/>
    <w:multiLevelType w:val="multilevel"/>
    <w:tmpl w:val="C3E6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64989"/>
    <w:multiLevelType w:val="multilevel"/>
    <w:tmpl w:val="9BA8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4F"/>
    <w:rsid w:val="00012FEE"/>
    <w:rsid w:val="00017C6E"/>
    <w:rsid w:val="0002440A"/>
    <w:rsid w:val="00031084"/>
    <w:rsid w:val="000376F6"/>
    <w:rsid w:val="00043547"/>
    <w:rsid w:val="0008244A"/>
    <w:rsid w:val="00082547"/>
    <w:rsid w:val="000839D6"/>
    <w:rsid w:val="00087BD7"/>
    <w:rsid w:val="00092E6A"/>
    <w:rsid w:val="000A017E"/>
    <w:rsid w:val="000A1E86"/>
    <w:rsid w:val="000C9D64"/>
    <w:rsid w:val="000D4D6A"/>
    <w:rsid w:val="001060D5"/>
    <w:rsid w:val="001100CF"/>
    <w:rsid w:val="00123A29"/>
    <w:rsid w:val="00124918"/>
    <w:rsid w:val="00156ACE"/>
    <w:rsid w:val="00183170"/>
    <w:rsid w:val="001A4191"/>
    <w:rsid w:val="001B7A0B"/>
    <w:rsid w:val="001C2582"/>
    <w:rsid w:val="001C4452"/>
    <w:rsid w:val="001D2E6F"/>
    <w:rsid w:val="002025D9"/>
    <w:rsid w:val="00207C29"/>
    <w:rsid w:val="0022624D"/>
    <w:rsid w:val="00233981"/>
    <w:rsid w:val="002354C4"/>
    <w:rsid w:val="00245ED4"/>
    <w:rsid w:val="00245F35"/>
    <w:rsid w:val="0025146A"/>
    <w:rsid w:val="00260674"/>
    <w:rsid w:val="002631F5"/>
    <w:rsid w:val="002666C5"/>
    <w:rsid w:val="002767D9"/>
    <w:rsid w:val="00283F9D"/>
    <w:rsid w:val="002A6803"/>
    <w:rsid w:val="002B6173"/>
    <w:rsid w:val="002E1FE3"/>
    <w:rsid w:val="002F4136"/>
    <w:rsid w:val="00307E48"/>
    <w:rsid w:val="00325314"/>
    <w:rsid w:val="003407BD"/>
    <w:rsid w:val="00341D0E"/>
    <w:rsid w:val="00355066"/>
    <w:rsid w:val="0037130F"/>
    <w:rsid w:val="00375799"/>
    <w:rsid w:val="003A2155"/>
    <w:rsid w:val="003B121B"/>
    <w:rsid w:val="003C6E29"/>
    <w:rsid w:val="003D78D5"/>
    <w:rsid w:val="003F1720"/>
    <w:rsid w:val="003F25C8"/>
    <w:rsid w:val="00402083"/>
    <w:rsid w:val="0040443A"/>
    <w:rsid w:val="00432C9C"/>
    <w:rsid w:val="0043467B"/>
    <w:rsid w:val="00441A7B"/>
    <w:rsid w:val="004516BB"/>
    <w:rsid w:val="004659B2"/>
    <w:rsid w:val="00466352"/>
    <w:rsid w:val="004A2B4F"/>
    <w:rsid w:val="004A42F6"/>
    <w:rsid w:val="004E1680"/>
    <w:rsid w:val="004E29A8"/>
    <w:rsid w:val="005066DD"/>
    <w:rsid w:val="00520C91"/>
    <w:rsid w:val="00530226"/>
    <w:rsid w:val="00531320"/>
    <w:rsid w:val="00535790"/>
    <w:rsid w:val="00547EF4"/>
    <w:rsid w:val="005720DE"/>
    <w:rsid w:val="0057379C"/>
    <w:rsid w:val="005A45B6"/>
    <w:rsid w:val="005A7CAF"/>
    <w:rsid w:val="005B1CEA"/>
    <w:rsid w:val="005C035B"/>
    <w:rsid w:val="005C07C2"/>
    <w:rsid w:val="005E707D"/>
    <w:rsid w:val="0064057B"/>
    <w:rsid w:val="0068289C"/>
    <w:rsid w:val="00682A09"/>
    <w:rsid w:val="0068674D"/>
    <w:rsid w:val="006A4D43"/>
    <w:rsid w:val="006A66CD"/>
    <w:rsid w:val="006B22BD"/>
    <w:rsid w:val="006B26C6"/>
    <w:rsid w:val="006D51A0"/>
    <w:rsid w:val="006F375E"/>
    <w:rsid w:val="00717BB7"/>
    <w:rsid w:val="00733DFC"/>
    <w:rsid w:val="007571DB"/>
    <w:rsid w:val="00763323"/>
    <w:rsid w:val="00772580"/>
    <w:rsid w:val="00777644"/>
    <w:rsid w:val="007C3ADE"/>
    <w:rsid w:val="007E357B"/>
    <w:rsid w:val="007E7C24"/>
    <w:rsid w:val="007F7760"/>
    <w:rsid w:val="007F7B27"/>
    <w:rsid w:val="00817757"/>
    <w:rsid w:val="0083293F"/>
    <w:rsid w:val="00857DE0"/>
    <w:rsid w:val="00866F6A"/>
    <w:rsid w:val="00873850"/>
    <w:rsid w:val="008B16F2"/>
    <w:rsid w:val="008B78A9"/>
    <w:rsid w:val="008E446C"/>
    <w:rsid w:val="008F79A7"/>
    <w:rsid w:val="0091292F"/>
    <w:rsid w:val="00933721"/>
    <w:rsid w:val="0094678A"/>
    <w:rsid w:val="00970F0E"/>
    <w:rsid w:val="0097174C"/>
    <w:rsid w:val="009926AF"/>
    <w:rsid w:val="009A4DC0"/>
    <w:rsid w:val="009B0B60"/>
    <w:rsid w:val="009E3EB9"/>
    <w:rsid w:val="009F44F0"/>
    <w:rsid w:val="00A02F94"/>
    <w:rsid w:val="00A03C8A"/>
    <w:rsid w:val="00A57616"/>
    <w:rsid w:val="00A854CA"/>
    <w:rsid w:val="00A9490F"/>
    <w:rsid w:val="00A95E40"/>
    <w:rsid w:val="00AA40A7"/>
    <w:rsid w:val="00AC119D"/>
    <w:rsid w:val="00AF079E"/>
    <w:rsid w:val="00AF5124"/>
    <w:rsid w:val="00AF5971"/>
    <w:rsid w:val="00B03097"/>
    <w:rsid w:val="00B14077"/>
    <w:rsid w:val="00B157E6"/>
    <w:rsid w:val="00B7583F"/>
    <w:rsid w:val="00BA7B3C"/>
    <w:rsid w:val="00BE4315"/>
    <w:rsid w:val="00BF314E"/>
    <w:rsid w:val="00BF6250"/>
    <w:rsid w:val="00C07FDA"/>
    <w:rsid w:val="00C16EBA"/>
    <w:rsid w:val="00C270EB"/>
    <w:rsid w:val="00C32A10"/>
    <w:rsid w:val="00C33BA5"/>
    <w:rsid w:val="00C75EB9"/>
    <w:rsid w:val="00C84E7E"/>
    <w:rsid w:val="00CE34CA"/>
    <w:rsid w:val="00CE5B13"/>
    <w:rsid w:val="00CF3D04"/>
    <w:rsid w:val="00D00C56"/>
    <w:rsid w:val="00D16C7B"/>
    <w:rsid w:val="00D17E48"/>
    <w:rsid w:val="00D35527"/>
    <w:rsid w:val="00D524EF"/>
    <w:rsid w:val="00D80DA8"/>
    <w:rsid w:val="00DC4BA2"/>
    <w:rsid w:val="00DC6CEA"/>
    <w:rsid w:val="00DD5FBE"/>
    <w:rsid w:val="00E15BF7"/>
    <w:rsid w:val="00E211F6"/>
    <w:rsid w:val="00E23649"/>
    <w:rsid w:val="00E36D2A"/>
    <w:rsid w:val="00E70B0E"/>
    <w:rsid w:val="00E82415"/>
    <w:rsid w:val="00EC2164"/>
    <w:rsid w:val="00EF57CE"/>
    <w:rsid w:val="00F67151"/>
    <w:rsid w:val="00F75E9B"/>
    <w:rsid w:val="00F83233"/>
    <w:rsid w:val="00F928AF"/>
    <w:rsid w:val="00F95FA9"/>
    <w:rsid w:val="00F96C00"/>
    <w:rsid w:val="00FA0F36"/>
    <w:rsid w:val="00FA459C"/>
    <w:rsid w:val="00FB72EA"/>
    <w:rsid w:val="00FC144D"/>
    <w:rsid w:val="00FC2973"/>
    <w:rsid w:val="00FC4221"/>
    <w:rsid w:val="00FD36C3"/>
    <w:rsid w:val="017D8040"/>
    <w:rsid w:val="02068EBC"/>
    <w:rsid w:val="04A105D5"/>
    <w:rsid w:val="09D2E176"/>
    <w:rsid w:val="1076CAE4"/>
    <w:rsid w:val="1B096191"/>
    <w:rsid w:val="1D31B1E1"/>
    <w:rsid w:val="1D436C76"/>
    <w:rsid w:val="21E57929"/>
    <w:rsid w:val="23302EDD"/>
    <w:rsid w:val="250FFEBF"/>
    <w:rsid w:val="32C477AA"/>
    <w:rsid w:val="33E099D8"/>
    <w:rsid w:val="3627F392"/>
    <w:rsid w:val="3C51FC5E"/>
    <w:rsid w:val="3E2A27D7"/>
    <w:rsid w:val="40A83522"/>
    <w:rsid w:val="40CF9574"/>
    <w:rsid w:val="4236EFF4"/>
    <w:rsid w:val="442D30F5"/>
    <w:rsid w:val="4ADC1178"/>
    <w:rsid w:val="4D495ABA"/>
    <w:rsid w:val="4DFA0587"/>
    <w:rsid w:val="5D1D5867"/>
    <w:rsid w:val="5D610F53"/>
    <w:rsid w:val="64EF6C46"/>
    <w:rsid w:val="6D5E9449"/>
    <w:rsid w:val="6D792A62"/>
    <w:rsid w:val="762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30686D"/>
  <w15:chartTrackingRefBased/>
  <w15:docId w15:val="{56BF2898-1CD4-4313-B324-6C00496C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FA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78D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599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4A2B4F"/>
    <w:pPr>
      <w:spacing w:after="0" w:line="240" w:lineRule="auto"/>
    </w:pPr>
    <w:tblPr>
      <w:tblStyleRowBandSize w:val="1"/>
      <w:tblStyleColBandSize w:val="1"/>
      <w:tblBorders>
        <w:top w:val="single" w:sz="4" w:space="0" w:color="F7F7F7" w:themeColor="accent3" w:themeTint="99"/>
        <w:left w:val="single" w:sz="4" w:space="0" w:color="F7F7F7" w:themeColor="accent3" w:themeTint="99"/>
        <w:bottom w:val="single" w:sz="4" w:space="0" w:color="F7F7F7" w:themeColor="accent3" w:themeTint="99"/>
        <w:right w:val="single" w:sz="4" w:space="0" w:color="F7F7F7" w:themeColor="accent3" w:themeTint="99"/>
        <w:insideH w:val="single" w:sz="4" w:space="0" w:color="F7F7F7" w:themeColor="accent3" w:themeTint="99"/>
        <w:insideV w:val="single" w:sz="4" w:space="0" w:color="F7F7F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F3F3" w:themeColor="accent3"/>
          <w:left w:val="single" w:sz="4" w:space="0" w:color="F3F3F3" w:themeColor="accent3"/>
          <w:bottom w:val="single" w:sz="4" w:space="0" w:color="F3F3F3" w:themeColor="accent3"/>
          <w:right w:val="single" w:sz="4" w:space="0" w:color="F3F3F3" w:themeColor="accent3"/>
          <w:insideH w:val="nil"/>
          <w:insideV w:val="nil"/>
        </w:tcBorders>
        <w:shd w:val="clear" w:color="auto" w:fill="F3F3F3" w:themeFill="accent3"/>
      </w:tcPr>
    </w:tblStylePr>
    <w:tblStylePr w:type="lastRow">
      <w:rPr>
        <w:b/>
        <w:bCs/>
      </w:rPr>
      <w:tblPr/>
      <w:tcPr>
        <w:tcBorders>
          <w:top w:val="double" w:sz="4" w:space="0" w:color="F3F3F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C" w:themeFill="accent3" w:themeFillTint="33"/>
      </w:tcPr>
    </w:tblStylePr>
    <w:tblStylePr w:type="band1Horz">
      <w:tblPr/>
      <w:tcPr>
        <w:shd w:val="clear" w:color="auto" w:fill="FCFCFC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9F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2547"/>
    <w:rPr>
      <w:color w:val="0078D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25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2547"/>
    <w:rPr>
      <w:color w:val="0078D4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44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4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4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4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4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45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4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121B"/>
    <w:pPr>
      <w:numPr>
        <w:ilvl w:val="1"/>
      </w:numPr>
    </w:pPr>
    <w:rPr>
      <w:rFonts w:eastAsiaTheme="minorEastAsia"/>
      <w:color w:val="5A5A5A" w:themeColor="text1" w:themeTint="A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121B"/>
    <w:rPr>
      <w:rFonts w:eastAsiaTheme="minorEastAsia"/>
      <w:color w:val="5A5A5A" w:themeColor="text1" w:themeTint="A5"/>
      <w:sz w:val="32"/>
    </w:rPr>
  </w:style>
  <w:style w:type="paragraph" w:styleId="NoSpacing">
    <w:name w:val="No Spacing"/>
    <w:uiPriority w:val="1"/>
    <w:qFormat/>
    <w:rsid w:val="00D5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95FA9"/>
    <w:rPr>
      <w:rFonts w:asciiTheme="majorHAnsi" w:eastAsiaTheme="majorEastAsia" w:hAnsiTheme="majorHAnsi" w:cstheme="majorBidi"/>
      <w:color w:val="0078D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5790"/>
    <w:rPr>
      <w:rFonts w:asciiTheme="majorHAnsi" w:eastAsiaTheme="majorEastAsia" w:hAnsiTheme="majorHAnsi" w:cstheme="majorBidi"/>
      <w:color w:val="00599E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BA7B3C"/>
    <w:rPr>
      <w:b/>
      <w:bCs/>
    </w:rPr>
  </w:style>
  <w:style w:type="character" w:styleId="BookTitle">
    <w:name w:val="Book Title"/>
    <w:basedOn w:val="DefaultParagraphFont"/>
    <w:uiPriority w:val="33"/>
    <w:qFormat/>
    <w:rsid w:val="00BA7B3C"/>
    <w:rPr>
      <w:b/>
      <w:bCs/>
      <w:i/>
      <w:iCs/>
      <w:spacing w:val="5"/>
    </w:rPr>
  </w:style>
  <w:style w:type="character" w:styleId="SubtleEmphasis">
    <w:name w:val="Subtle Emphasis"/>
    <w:basedOn w:val="DefaultParagraphFont"/>
    <w:uiPriority w:val="19"/>
    <w:qFormat/>
    <w:rsid w:val="007F7B27"/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CF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3D04"/>
  </w:style>
  <w:style w:type="character" w:customStyle="1" w:styleId="eop">
    <w:name w:val="eop"/>
    <w:basedOn w:val="DefaultParagraphFont"/>
    <w:rsid w:val="00CF3D04"/>
  </w:style>
  <w:style w:type="character" w:customStyle="1" w:styleId="apple-converted-space">
    <w:name w:val="apple-converted-space"/>
    <w:basedOn w:val="DefaultParagraphFont"/>
    <w:rsid w:val="00CF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nam06.safelinks.protection.outlook.com/?url=https%3A%2F%2Fdynamics.microsoft.com%2Fen-us%2Fbusiness-central%2Fdemo%2F&amp;data=02%7C01%7Cpamelajo%40microsoft.com%7C8ed41026dd9e4194617d08d7db3a472c%7C72f988bf86f141af91ab2d7cd011db47%7C1%7C0%7C637218916643089828&amp;sdata=E1zd%2BBgDtPzZ88xeTXdvfUhuRonHeWV7RDB4y3nQY8o%3D&amp;reserved=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nam06.safelinks.protection.outlook.com/?url=https%3A%2F%2Fpartner.microsoft.com%2Fen-us%2Fmarketing%2Fbusiness-applications-smb%23tab-content-2&amp;data=02%7C01%7Cpamelajo%40microsoft.com%7C8ed41026dd9e4194617d08d7db3a472c%7C72f988bf86f141af91ab2d7cd011db47%7C1%7C0%7C637218916643079863&amp;sdata=QRAqYvN%2FOSJAGIP9Ch9sBno%2FOT2GuSBcwv3FKpDfnQo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nam06.safelinks.protection.outlook.com/?url=https%3A%2F%2Fdocs.microsoft.com%2Fen-us%2Flearn%2Fbrowse%2F%3Froles%3Dfunctional-consultant%26products%3Ddynamics-business-central%26resource_type%3Dlearning%2520path&amp;data=02%7C01%7Cpamelajo%40microsoft.com%7C8ed41026dd9e4194617d08d7db3a472c%7C72f988bf86f141af91ab2d7cd011db47%7C1%7C0%7C637218916643089828&amp;sdata=xCfvxK3l%2Bj71Kc%2FYR8SF9q7tN2QhPBev4H5R2i9s6rE%3D&amp;reserved=0" TargetMode="External"/></Relationships>
</file>

<file path=word/theme/theme1.xml><?xml version="1.0" encoding="utf-8"?>
<a:theme xmlns:a="http://schemas.openxmlformats.org/drawingml/2006/main" name="Office Theme">
  <a:themeElements>
    <a:clrScheme name="M365">
      <a:dk1>
        <a:srgbClr val="000000"/>
      </a:dk1>
      <a:lt1>
        <a:sysClr val="window" lastClr="FFFFFF"/>
      </a:lt1>
      <a:dk2>
        <a:srgbClr val="282828"/>
      </a:dk2>
      <a:lt2>
        <a:srgbClr val="F3F3F3"/>
      </a:lt2>
      <a:accent1>
        <a:srgbClr val="0078D4"/>
      </a:accent1>
      <a:accent2>
        <a:srgbClr val="505050"/>
      </a:accent2>
      <a:accent3>
        <a:srgbClr val="F3F3F3"/>
      </a:accent3>
      <a:accent4>
        <a:srgbClr val="E6E6E6"/>
      </a:accent4>
      <a:accent5>
        <a:srgbClr val="D2D2D2"/>
      </a:accent5>
      <a:accent6>
        <a:srgbClr val="B2B2B2"/>
      </a:accent6>
      <a:hlink>
        <a:srgbClr val="0078D4"/>
      </a:hlink>
      <a:folHlink>
        <a:srgbClr val="0078D4"/>
      </a:folHlink>
    </a:clrScheme>
    <a:fontScheme name="Micorosoft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7039c6dd-f10e-4ecd-abc4-1d58c2a7cba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753334F5491E4F8D5ED37836C9CBDB" ma:contentTypeVersion="13" ma:contentTypeDescription="Crear nuevo documento." ma:contentTypeScope="" ma:versionID="bd8ee8c50716fefa6e4e86ae14673f3e">
  <xsd:schema xmlns:xsd="http://www.w3.org/2001/XMLSchema" xmlns:xs="http://www.w3.org/2001/XMLSchema" xmlns:p="http://schemas.microsoft.com/office/2006/metadata/properties" xmlns:ns1="http://schemas.microsoft.com/sharepoint/v3" xmlns:ns2="a6755352-c1fa-49bb-827b-873309d3738d" xmlns:ns3="7039c6dd-f10e-4ecd-abc4-1d58c2a7cba8" targetNamespace="http://schemas.microsoft.com/office/2006/metadata/properties" ma:root="true" ma:fieldsID="02d736efbea4567c4518c24312d10b21" ns1:_="" ns2:_="" ns3:_="">
    <xsd:import namespace="http://schemas.microsoft.com/sharepoint/v3"/>
    <xsd:import namespace="a6755352-c1fa-49bb-827b-873309d3738d"/>
    <xsd:import namespace="7039c6dd-f10e-4ecd-abc4-1d58c2a7c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55352-c1fa-49bb-827b-873309d37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9c6dd-f10e-4ecd-abc4-1d58c2a7c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D3DB1-2D7D-4237-92DF-AFD7A7EBB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49361-1111-44DD-9B8A-8EF9ED2AB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9D493A7-95AC-4760-AE98-14799DED1793}"/>
</file>

<file path=customXml/itemProps4.xml><?xml version="1.0" encoding="utf-8"?>
<ds:datastoreItem xmlns:ds="http://schemas.openxmlformats.org/officeDocument/2006/customXml" ds:itemID="{C24BE96D-A0B3-44CB-9F10-BF069F8D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1015</Words>
  <Characters>5646</Characters>
  <Application>Microsoft Office Word</Application>
  <DocSecurity>0</DocSecurity>
  <Lines>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Christine@theodigogroup.com</dc:creator>
  <cp:lastModifiedBy>Laura Rajchman</cp:lastModifiedBy>
  <cp:revision>15</cp:revision>
  <dcterms:created xsi:type="dcterms:W3CDTF">2021-02-26T03:12:00Z</dcterms:created>
  <dcterms:modified xsi:type="dcterms:W3CDTF">2021-03-01T01:34:00Z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0x0101004E753334F5491E4F8D5ED37836C9CBDB</vt:lpwstr>
  </property>
  <property fmtid="{D5CDD505-2E9C-101B-9397-08002B2CF9AE}" pid="4" name="Order">
    <vt:r8>2769600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xd_Signature">
    <vt:bool>false</vt:bool>
  </property>
  <property fmtid="{D5CDD505-2E9C-101B-9397-08002B2CF9AE}" pid="8" name="_SourceUrl">
    <vt:lpwstr/>
  </property>
  <property fmtid="{D5CDD505-2E9C-101B-9397-08002B2CF9AE}" pid="9" name="_SharedFileIndex">
    <vt:lpwstr/>
  </property>
</Properties>
</file>